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896" w:rsidRPr="00064896" w:rsidRDefault="00064896" w:rsidP="00064896">
      <w:pPr>
        <w:spacing w:after="0" w:line="240" w:lineRule="auto"/>
        <w:rPr>
          <w:rFonts w:ascii="Times New Roman" w:eastAsia="Times New Roman" w:hAnsi="Times New Roman" w:cs="Times New Roman"/>
          <w:sz w:val="24"/>
          <w:szCs w:val="24"/>
          <w:lang w:eastAsia="en-PH"/>
        </w:rPr>
      </w:pPr>
      <w:r w:rsidRPr="00064896">
        <w:rPr>
          <w:rFonts w:ascii="Verdana" w:eastAsia="Times New Roman" w:hAnsi="Verdana" w:cs="Times New Roman"/>
          <w:color w:val="000000"/>
          <w:lang w:eastAsia="en-PH"/>
        </w:rPr>
        <w:t>650 Phil. 372</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r>
    </w:p>
    <w:p w:rsidR="00064896" w:rsidRPr="00064896" w:rsidRDefault="00064896" w:rsidP="00064896">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064896">
        <w:rPr>
          <w:rFonts w:ascii="Verdana" w:eastAsia="Times New Roman" w:hAnsi="Verdana" w:cs="Times New Roman"/>
          <w:b/>
          <w:bCs/>
          <w:color w:val="000000"/>
          <w:sz w:val="36"/>
          <w:szCs w:val="36"/>
          <w:lang w:eastAsia="en-PH"/>
        </w:rPr>
        <w:t>THIRD DIVISION</w:t>
      </w:r>
    </w:p>
    <w:p w:rsidR="00064896" w:rsidRPr="00064896" w:rsidRDefault="00064896" w:rsidP="00064896">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064896">
        <w:rPr>
          <w:rFonts w:ascii="Verdana" w:eastAsia="Times New Roman" w:hAnsi="Verdana" w:cs="Times New Roman"/>
          <w:b/>
          <w:bCs/>
          <w:color w:val="000000"/>
          <w:sz w:val="36"/>
          <w:szCs w:val="36"/>
          <w:lang w:eastAsia="en-PH"/>
        </w:rPr>
        <w:t>[ G.R</w:t>
      </w:r>
      <w:proofErr w:type="gramEnd"/>
      <w:r w:rsidRPr="00064896">
        <w:rPr>
          <w:rFonts w:ascii="Verdana" w:eastAsia="Times New Roman" w:hAnsi="Verdana" w:cs="Times New Roman"/>
          <w:b/>
          <w:bCs/>
          <w:color w:val="000000"/>
          <w:sz w:val="36"/>
          <w:szCs w:val="36"/>
          <w:lang w:eastAsia="en-PH"/>
        </w:rPr>
        <w:t>. No. 157479, November 24, 2010 ]</w:t>
      </w:r>
    </w:p>
    <w:p w:rsidR="00064896" w:rsidRPr="00064896" w:rsidRDefault="00064896" w:rsidP="00064896">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064896">
        <w:rPr>
          <w:rFonts w:ascii="Verdana" w:eastAsia="Times New Roman" w:hAnsi="Verdana" w:cs="Times New Roman"/>
          <w:b/>
          <w:bCs/>
          <w:color w:val="000000"/>
          <w:sz w:val="27"/>
          <w:szCs w:val="27"/>
          <w:lang w:eastAsia="en-PH"/>
        </w:rPr>
        <w:t>PHILIP TURNER AND ELNORA TURNER, PETITIONERS, VS.</w:t>
      </w:r>
      <w:proofErr w:type="gramEnd"/>
      <w:r w:rsidRPr="00064896">
        <w:rPr>
          <w:rFonts w:ascii="Verdana" w:eastAsia="Times New Roman" w:hAnsi="Verdana" w:cs="Times New Roman"/>
          <w:b/>
          <w:bCs/>
          <w:color w:val="000000"/>
          <w:sz w:val="27"/>
          <w:szCs w:val="27"/>
          <w:lang w:eastAsia="en-PH"/>
        </w:rPr>
        <w:t xml:space="preserve"> LORENZO SHIPPING CORPORATION, RESPONDENT.</w:t>
      </w:r>
      <w:r w:rsidRPr="00064896">
        <w:rPr>
          <w:rFonts w:ascii="Verdana" w:eastAsia="Times New Roman" w:hAnsi="Verdana" w:cs="Times New Roman"/>
          <w:b/>
          <w:bCs/>
          <w:color w:val="000000"/>
          <w:sz w:val="27"/>
          <w:szCs w:val="27"/>
          <w:lang w:eastAsia="en-PH"/>
        </w:rPr>
        <w:br/>
      </w:r>
      <w:r w:rsidRPr="00064896">
        <w:rPr>
          <w:rFonts w:ascii="Verdana" w:eastAsia="Times New Roman" w:hAnsi="Verdana" w:cs="Times New Roman"/>
          <w:b/>
          <w:bCs/>
          <w:color w:val="000000"/>
          <w:sz w:val="27"/>
          <w:szCs w:val="27"/>
          <w:lang w:eastAsia="en-PH"/>
        </w:rPr>
        <w:br/>
        <w:t>D E C I S I O N</w:t>
      </w:r>
    </w:p>
    <w:p w:rsidR="00064896" w:rsidRPr="00064896" w:rsidRDefault="00064896" w:rsidP="00064896">
      <w:pPr>
        <w:spacing w:before="100" w:beforeAutospacing="1" w:after="100" w:afterAutospacing="1" w:line="240" w:lineRule="auto"/>
        <w:rPr>
          <w:rFonts w:ascii="Verdana" w:eastAsia="Times New Roman" w:hAnsi="Verdana" w:cs="Times New Roman"/>
          <w:color w:val="000000"/>
          <w:lang w:eastAsia="en-PH"/>
        </w:rPr>
      </w:pPr>
      <w:r w:rsidRPr="00064896">
        <w:rPr>
          <w:rFonts w:ascii="Verdana" w:eastAsia="Times New Roman" w:hAnsi="Verdana" w:cs="Times New Roman"/>
          <w:b/>
          <w:bCs/>
          <w:color w:val="000000"/>
          <w:lang w:eastAsia="en-PH"/>
        </w:rPr>
        <w:t>BERSAMIN, J.:</w:t>
      </w:r>
    </w:p>
    <w:p w:rsidR="00064896" w:rsidRPr="00064896" w:rsidRDefault="00064896" w:rsidP="00064896">
      <w:pPr>
        <w:spacing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t>This case concerns the right of dissenting stockholders to demand payment of the value of their shareholdings.</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In the stockholders' suit to recover the value of their shareholdings from the corporation, the Regional Trial Court (RTC) upheld the dissenting stockholders, herein petitioners, and ordered the corporation, herein respondent, to pay. Execution was partially carried out against the respondent. On the respondent's petition for </w:t>
      </w:r>
      <w:r w:rsidRPr="00064896">
        <w:rPr>
          <w:rFonts w:ascii="Verdana" w:eastAsia="Times New Roman" w:hAnsi="Verdana" w:cs="Times New Roman"/>
          <w:i/>
          <w:iCs/>
          <w:color w:val="000000"/>
          <w:lang w:eastAsia="en-PH"/>
        </w:rPr>
        <w:t>certiorari</w:t>
      </w:r>
      <w:r w:rsidRPr="00064896">
        <w:rPr>
          <w:rFonts w:ascii="Verdana" w:eastAsia="Times New Roman" w:hAnsi="Verdana" w:cs="Times New Roman"/>
          <w:color w:val="000000"/>
          <w:lang w:eastAsia="en-PH"/>
        </w:rPr>
        <w:t>, however, the Court of Appeals (CA) corrected the RTC and dismissed the petitioners' suit on the ground that their cause of action for collection had not yet accrued due to the lack of unrestricted retained earnings in the books of the respondent.</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Thus, the petitioners are now before the Court to challenge the CA's decision promulgated on March 4, 2003 in C.A.-G.R. SP No. 74156 entitled </w:t>
      </w:r>
      <w:r w:rsidRPr="00064896">
        <w:rPr>
          <w:rFonts w:ascii="Verdana" w:eastAsia="Times New Roman" w:hAnsi="Verdana" w:cs="Times New Roman"/>
          <w:i/>
          <w:iCs/>
          <w:color w:val="000000"/>
          <w:lang w:eastAsia="en-PH"/>
        </w:rPr>
        <w:t xml:space="preserve">Lorenzo Shipping Corporation v. Hon. </w:t>
      </w:r>
      <w:proofErr w:type="spellStart"/>
      <w:r w:rsidRPr="00064896">
        <w:rPr>
          <w:rFonts w:ascii="Verdana" w:eastAsia="Times New Roman" w:hAnsi="Verdana" w:cs="Times New Roman"/>
          <w:i/>
          <w:iCs/>
          <w:color w:val="000000"/>
          <w:lang w:eastAsia="en-PH"/>
        </w:rPr>
        <w:t>Artemio</w:t>
      </w:r>
      <w:proofErr w:type="spellEnd"/>
      <w:r w:rsidRPr="00064896">
        <w:rPr>
          <w:rFonts w:ascii="Verdana" w:eastAsia="Times New Roman" w:hAnsi="Verdana" w:cs="Times New Roman"/>
          <w:i/>
          <w:iCs/>
          <w:color w:val="000000"/>
          <w:lang w:eastAsia="en-PH"/>
        </w:rPr>
        <w:t xml:space="preserve"> S. </w:t>
      </w:r>
      <w:proofErr w:type="spellStart"/>
      <w:r w:rsidRPr="00064896">
        <w:rPr>
          <w:rFonts w:ascii="Verdana" w:eastAsia="Times New Roman" w:hAnsi="Verdana" w:cs="Times New Roman"/>
          <w:i/>
          <w:iCs/>
          <w:color w:val="000000"/>
          <w:lang w:eastAsia="en-PH"/>
        </w:rPr>
        <w:t>Tipon</w:t>
      </w:r>
      <w:proofErr w:type="spellEnd"/>
      <w:r w:rsidRPr="00064896">
        <w:rPr>
          <w:rFonts w:ascii="Verdana" w:eastAsia="Times New Roman" w:hAnsi="Verdana" w:cs="Times New Roman"/>
          <w:i/>
          <w:iCs/>
          <w:color w:val="000000"/>
          <w:lang w:eastAsia="en-PH"/>
        </w:rPr>
        <w:t>, in his capacity as Presiding Judge of Branch 46 of the Regional Trial Court of Manila, et al</w:t>
      </w:r>
      <w:r w:rsidRPr="00064896">
        <w:rPr>
          <w:rFonts w:ascii="Verdana" w:eastAsia="Times New Roman" w:hAnsi="Verdana" w:cs="Times New Roman"/>
          <w:color w:val="000000"/>
          <w:lang w:eastAsia="en-PH"/>
        </w:rPr>
        <w:t>.</w:t>
      </w:r>
      <w:r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1"/>
      </w:r>
      <w:r w:rsidRPr="00064896">
        <w:rPr>
          <w:rFonts w:ascii="Verdana" w:eastAsia="Times New Roman" w:hAnsi="Verdana" w:cs="Times New Roman"/>
          <w:color w:val="FF0000"/>
          <w:vertAlign w:val="superscript"/>
          <w:lang w:eastAsia="en-PH"/>
        </w:rPr>
        <w:t>]</w:t>
      </w:r>
    </w:p>
    <w:p w:rsidR="00064896" w:rsidRPr="00064896" w:rsidRDefault="00064896" w:rsidP="00064896">
      <w:pPr>
        <w:spacing w:after="0" w:line="240" w:lineRule="auto"/>
        <w:jc w:val="center"/>
        <w:rPr>
          <w:rFonts w:ascii="Verdana" w:eastAsia="Times New Roman" w:hAnsi="Verdana" w:cs="Times New Roman"/>
          <w:color w:val="000000"/>
          <w:lang w:eastAsia="en-PH"/>
        </w:rPr>
      </w:pPr>
      <w:r w:rsidRPr="00064896">
        <w:rPr>
          <w:rFonts w:ascii="Verdana" w:eastAsia="Times New Roman" w:hAnsi="Verdana" w:cs="Times New Roman"/>
          <w:b/>
          <w:bCs/>
          <w:color w:val="000000"/>
          <w:lang w:eastAsia="en-PH"/>
        </w:rPr>
        <w:t>Antecedents</w:t>
      </w:r>
    </w:p>
    <w:p w:rsidR="00064896" w:rsidRPr="00064896" w:rsidRDefault="00064896" w:rsidP="00064896">
      <w:pPr>
        <w:spacing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br/>
        <w:t>The petitioners held 1,010,000 shares of stock of the respondent, a domestic corporation engaged primarily in cargo shipping activities. In June 1999, the respondent decided to amend its articles of incorporation to remove the stockholders' pre-emptive rights to newly issued shares of stock. Feeling that the corporate move would be prejudicial to their interest as stockholders, the petitioners voted against the amendment and demanded payment of their shares at the rate of P2.276/share based on the book value of the shares, or a total of P2</w:t>
      </w:r>
      <w:proofErr w:type="gramStart"/>
      <w:r w:rsidRPr="00064896">
        <w:rPr>
          <w:rFonts w:ascii="Verdana" w:eastAsia="Times New Roman" w:hAnsi="Verdana" w:cs="Times New Roman"/>
          <w:color w:val="000000"/>
          <w:lang w:eastAsia="en-PH"/>
        </w:rPr>
        <w:t>,298,760.00</w:t>
      </w:r>
      <w:proofErr w:type="gramEnd"/>
      <w:r w:rsidRPr="00064896">
        <w:rPr>
          <w:rFonts w:ascii="Verdana" w:eastAsia="Times New Roman" w:hAnsi="Verdana" w:cs="Times New Roman"/>
          <w:color w:val="000000"/>
          <w:lang w:eastAsia="en-PH"/>
        </w:rPr>
        <w:t>.</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The respondent found the fair value of the shares demanded by the petitioners unacceptable. It insisted that the market value on the date before the action to remove the pre-emptive right was taken should be the value, or P0.41/share (or a total of P414</w:t>
      </w:r>
      <w:proofErr w:type="gramStart"/>
      <w:r w:rsidRPr="00064896">
        <w:rPr>
          <w:rFonts w:ascii="Verdana" w:eastAsia="Times New Roman" w:hAnsi="Verdana" w:cs="Times New Roman"/>
          <w:color w:val="000000"/>
          <w:lang w:eastAsia="en-PH"/>
        </w:rPr>
        <w:t>,100.00</w:t>
      </w:r>
      <w:proofErr w:type="gramEnd"/>
      <w:r w:rsidRPr="00064896">
        <w:rPr>
          <w:rFonts w:ascii="Verdana" w:eastAsia="Times New Roman" w:hAnsi="Verdana" w:cs="Times New Roman"/>
          <w:color w:val="000000"/>
          <w:lang w:eastAsia="en-PH"/>
        </w:rPr>
        <w:t xml:space="preserve">), considering that its shares were listed in the Philippine </w:t>
      </w:r>
      <w:r w:rsidRPr="00064896">
        <w:rPr>
          <w:rFonts w:ascii="Verdana" w:eastAsia="Times New Roman" w:hAnsi="Verdana" w:cs="Times New Roman"/>
          <w:color w:val="000000"/>
          <w:lang w:eastAsia="en-PH"/>
        </w:rPr>
        <w:lastRenderedPageBreak/>
        <w:t>Stock Exchange, and that the payment could be made only if the respondent had unrestricted retained earnings in its books to cover the value of the shares, which was not the case.</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The disagreement on the valuation of the shares led the parties to constitute an appraisal committee pursuant to Section 82 of the </w:t>
      </w:r>
      <w:r w:rsidRPr="00064896">
        <w:rPr>
          <w:rFonts w:ascii="Verdana" w:eastAsia="Times New Roman" w:hAnsi="Verdana" w:cs="Times New Roman"/>
          <w:i/>
          <w:iCs/>
          <w:color w:val="000000"/>
          <w:lang w:eastAsia="en-PH"/>
        </w:rPr>
        <w:t>Corporation Code</w:t>
      </w:r>
      <w:r w:rsidRPr="00064896">
        <w:rPr>
          <w:rFonts w:ascii="Verdana" w:eastAsia="Times New Roman" w:hAnsi="Verdana" w:cs="Times New Roman"/>
          <w:color w:val="000000"/>
          <w:lang w:eastAsia="en-PH"/>
        </w:rPr>
        <w:t xml:space="preserve">, each of them nominating a representative, who together then nominated the third member who would be chairman of the appraisal committee. Thus, the appraisal committee came to be made up of Reynaldo </w:t>
      </w:r>
      <w:proofErr w:type="spellStart"/>
      <w:r w:rsidRPr="00064896">
        <w:rPr>
          <w:rFonts w:ascii="Verdana" w:eastAsia="Times New Roman" w:hAnsi="Verdana" w:cs="Times New Roman"/>
          <w:color w:val="000000"/>
          <w:lang w:eastAsia="en-PH"/>
        </w:rPr>
        <w:t>Yatco</w:t>
      </w:r>
      <w:proofErr w:type="spellEnd"/>
      <w:r w:rsidRPr="00064896">
        <w:rPr>
          <w:rFonts w:ascii="Verdana" w:eastAsia="Times New Roman" w:hAnsi="Verdana" w:cs="Times New Roman"/>
          <w:color w:val="000000"/>
          <w:lang w:eastAsia="en-PH"/>
        </w:rPr>
        <w:t xml:space="preserve">, the petitioners' nominee; Atty. Antonio </w:t>
      </w:r>
      <w:proofErr w:type="spellStart"/>
      <w:r w:rsidRPr="00064896">
        <w:rPr>
          <w:rFonts w:ascii="Verdana" w:eastAsia="Times New Roman" w:hAnsi="Verdana" w:cs="Times New Roman"/>
          <w:color w:val="000000"/>
          <w:lang w:eastAsia="en-PH"/>
        </w:rPr>
        <w:t>Acyatan</w:t>
      </w:r>
      <w:proofErr w:type="spellEnd"/>
      <w:r w:rsidRPr="00064896">
        <w:rPr>
          <w:rFonts w:ascii="Verdana" w:eastAsia="Times New Roman" w:hAnsi="Verdana" w:cs="Times New Roman"/>
          <w:color w:val="000000"/>
          <w:lang w:eastAsia="en-PH"/>
        </w:rPr>
        <w:t xml:space="preserve">, the respondent's nominee; and Leo </w:t>
      </w:r>
      <w:proofErr w:type="spellStart"/>
      <w:r w:rsidRPr="00064896">
        <w:rPr>
          <w:rFonts w:ascii="Verdana" w:eastAsia="Times New Roman" w:hAnsi="Verdana" w:cs="Times New Roman"/>
          <w:color w:val="000000"/>
          <w:lang w:eastAsia="en-PH"/>
        </w:rPr>
        <w:t>Anoche</w:t>
      </w:r>
      <w:proofErr w:type="spellEnd"/>
      <w:r w:rsidRPr="00064896">
        <w:rPr>
          <w:rFonts w:ascii="Verdana" w:eastAsia="Times New Roman" w:hAnsi="Verdana" w:cs="Times New Roman"/>
          <w:color w:val="000000"/>
          <w:lang w:eastAsia="en-PH"/>
        </w:rPr>
        <w:t xml:space="preserve"> of the Asian Appraisal Company, Inc., the third member/chairman.</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On October 27, 2000, the appraisal committee reported its valuation of P2.54/share, for an aggregate value of P2</w:t>
      </w:r>
      <w:proofErr w:type="gramStart"/>
      <w:r w:rsidRPr="00064896">
        <w:rPr>
          <w:rFonts w:ascii="Verdana" w:eastAsia="Times New Roman" w:hAnsi="Verdana" w:cs="Times New Roman"/>
          <w:color w:val="000000"/>
          <w:lang w:eastAsia="en-PH"/>
        </w:rPr>
        <w:t>,565,400.00</w:t>
      </w:r>
      <w:proofErr w:type="gramEnd"/>
      <w:r w:rsidRPr="00064896">
        <w:rPr>
          <w:rFonts w:ascii="Verdana" w:eastAsia="Times New Roman" w:hAnsi="Verdana" w:cs="Times New Roman"/>
          <w:color w:val="000000"/>
          <w:lang w:eastAsia="en-PH"/>
        </w:rPr>
        <w:t xml:space="preserve"> for the petitioners.</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2"/>
      </w:r>
      <w:r w:rsidR="009079D7" w:rsidRPr="00064896">
        <w:rPr>
          <w:rFonts w:ascii="Verdana" w:eastAsia="Times New Roman" w:hAnsi="Verdana" w:cs="Times New Roman"/>
          <w:color w:val="FF0000"/>
          <w:vertAlign w:val="superscript"/>
          <w:lang w:eastAsia="en-PH"/>
        </w:rPr>
        <w:t>]</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Subsequently, the petitioners demanded payment based on the valuation of the appraisal committee, plus 2%/month penalty from the date of their original demand for payment, as well as the reimbursement of the amounts advanced as professional fees to the appraisers.</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3"/>
      </w:r>
      <w:r w:rsidR="009079D7" w:rsidRPr="00064896">
        <w:rPr>
          <w:rFonts w:ascii="Verdana" w:eastAsia="Times New Roman" w:hAnsi="Verdana" w:cs="Times New Roman"/>
          <w:color w:val="FF0000"/>
          <w:vertAlign w:val="superscript"/>
          <w:lang w:eastAsia="en-PH"/>
        </w:rPr>
        <w:t>]</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In its letter to the petitioners dated January 2, 2001,</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4"/>
      </w:r>
      <w:r w:rsidR="009079D7" w:rsidRPr="00064896">
        <w:rPr>
          <w:rFonts w:ascii="Verdana" w:eastAsia="Times New Roman" w:hAnsi="Verdana" w:cs="Times New Roman"/>
          <w:color w:val="FF0000"/>
          <w:vertAlign w:val="superscript"/>
          <w:lang w:eastAsia="en-PH"/>
        </w:rPr>
        <w:t>]</w:t>
      </w:r>
      <w:r w:rsidRPr="00064896">
        <w:rPr>
          <w:rFonts w:ascii="Verdana" w:eastAsia="Times New Roman" w:hAnsi="Verdana" w:cs="Times New Roman"/>
          <w:color w:val="000000"/>
          <w:lang w:eastAsia="en-PH"/>
        </w:rPr>
        <w:t> the respondent refused the petitioners' demand, explaining that pursuant to the </w:t>
      </w:r>
      <w:r w:rsidRPr="00064896">
        <w:rPr>
          <w:rFonts w:ascii="Verdana" w:eastAsia="Times New Roman" w:hAnsi="Verdana" w:cs="Times New Roman"/>
          <w:i/>
          <w:iCs/>
          <w:color w:val="000000"/>
          <w:lang w:eastAsia="en-PH"/>
        </w:rPr>
        <w:t>Corporation Code</w:t>
      </w:r>
      <w:r w:rsidRPr="00064896">
        <w:rPr>
          <w:rFonts w:ascii="Verdana" w:eastAsia="Times New Roman" w:hAnsi="Verdana" w:cs="Times New Roman"/>
          <w:color w:val="000000"/>
          <w:lang w:eastAsia="en-PH"/>
        </w:rPr>
        <w:t>, the dissenting stockholders exercising their appraisal rights could be paid only when the corporation had unrestricted retained earnings to cover the fair value of the shares, but that it had no retained earnings at the time of the petitioners' demand, as borne out by its Financial Statements for Fiscal Year 1999 showing a deficit of P72,973,114.00 as of December 31, 1999.</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Upon the respondent's refusal to pay, the petitioners sued the respondent for collection and damages in the RTC in Makati City on January 22, 2001. The case, docketed as Civil Case No. 01-086, was initially assigned to Branch 132.</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5"/>
      </w:r>
      <w:proofErr w:type="gramStart"/>
      <w:r w:rsidR="009079D7" w:rsidRPr="00064896">
        <w:rPr>
          <w:rFonts w:ascii="Verdana" w:eastAsia="Times New Roman" w:hAnsi="Verdana" w:cs="Times New Roman"/>
          <w:color w:val="FF0000"/>
          <w:vertAlign w:val="superscript"/>
          <w:lang w:eastAsia="en-PH"/>
        </w:rPr>
        <w:t>]</w:t>
      </w:r>
      <w:proofErr w:type="gramEnd"/>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On June 26, 2002, the petitioners filed their </w:t>
      </w:r>
      <w:r w:rsidRPr="00064896">
        <w:rPr>
          <w:rFonts w:ascii="Verdana" w:eastAsia="Times New Roman" w:hAnsi="Verdana" w:cs="Times New Roman"/>
          <w:i/>
          <w:iCs/>
          <w:color w:val="000000"/>
          <w:lang w:eastAsia="en-PH"/>
        </w:rPr>
        <w:t>motion for partial summary judgment</w:t>
      </w:r>
      <w:r w:rsidRPr="00064896">
        <w:rPr>
          <w:rFonts w:ascii="Verdana" w:eastAsia="Times New Roman" w:hAnsi="Verdana" w:cs="Times New Roman"/>
          <w:color w:val="000000"/>
          <w:lang w:eastAsia="en-PH"/>
        </w:rPr>
        <w:t>, claiming that:</w:t>
      </w:r>
    </w:p>
    <w:p w:rsidR="00064896" w:rsidRPr="00064896" w:rsidRDefault="00064896" w:rsidP="00064896">
      <w:pPr>
        <w:spacing w:after="0" w:line="240" w:lineRule="auto"/>
        <w:ind w:left="720"/>
        <w:rPr>
          <w:rFonts w:ascii="Verdana" w:eastAsia="Times New Roman" w:hAnsi="Verdana" w:cs="Times New Roman"/>
          <w:color w:val="000000"/>
          <w:lang w:eastAsia="en-PH"/>
        </w:rPr>
      </w:pPr>
      <w:r w:rsidRPr="00064896">
        <w:rPr>
          <w:rFonts w:eastAsia="Times New Roman" w:cstheme="minorHAnsi"/>
          <w:color w:val="000000"/>
          <w:lang w:eastAsia="en-PH"/>
        </w:rPr>
        <w:t>7) xxx the defendant has an accumulated unrestricted retained earnings of ELEVEN MILLION NINE HUNDRED SEVENTY FIVE THOUSAND FOUR HUNDRED NINETY (P11,975,490.00) PESOS, Philippine Currency, evidenced by its Financial Statement as of the Quarter Ending March 31, 2002; xxx</w:t>
      </w:r>
      <w:r w:rsidRPr="00064896">
        <w:rPr>
          <w:rFonts w:eastAsia="Times New Roman" w:cstheme="minorHAnsi"/>
          <w:color w:val="000000"/>
          <w:lang w:eastAsia="en-PH"/>
        </w:rPr>
        <w:br/>
      </w:r>
      <w:r w:rsidRPr="00064896">
        <w:rPr>
          <w:rFonts w:eastAsia="Times New Roman" w:cstheme="minorHAnsi"/>
          <w:color w:val="000000"/>
          <w:lang w:eastAsia="en-PH"/>
        </w:rPr>
        <w:br/>
        <w:t>8) xxx the fair value of the shares of the petitioners as fixed by the Appraisal Committee is final, that the same cannot be disputed xxx</w:t>
      </w:r>
      <w:r w:rsidRPr="00064896">
        <w:rPr>
          <w:rFonts w:eastAsia="Times New Roman" w:cstheme="minorHAnsi"/>
          <w:color w:val="000000"/>
          <w:lang w:eastAsia="en-PH"/>
        </w:rPr>
        <w:br/>
      </w:r>
      <w:r w:rsidRPr="00064896">
        <w:rPr>
          <w:rFonts w:eastAsia="Times New Roman" w:cstheme="minorHAnsi"/>
          <w:color w:val="000000"/>
          <w:lang w:eastAsia="en-PH"/>
        </w:rPr>
        <w:br/>
        <w:t xml:space="preserve">9) xxx there is no genuine issue to material fact and therefore, the plaintiffs are entitled, as a matter of right, to a summary judgment. </w:t>
      </w:r>
      <w:proofErr w:type="gramStart"/>
      <w:r w:rsidRPr="00064896">
        <w:rPr>
          <w:rFonts w:eastAsia="Times New Roman" w:cstheme="minorHAnsi"/>
          <w:color w:val="000000"/>
          <w:lang w:eastAsia="en-PH"/>
        </w:rPr>
        <w:t>xxx</w:t>
      </w:r>
      <w:proofErr w:type="gramEnd"/>
      <w:r w:rsidRPr="00064896">
        <w:rPr>
          <w:rFonts w:ascii="Verdana" w:eastAsia="Times New Roman" w:hAnsi="Verdana" w:cs="Times New Roman"/>
          <w:color w:val="000000"/>
          <w:lang w:eastAsia="en-PH"/>
        </w:rPr>
        <w:t>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6"/>
      </w:r>
      <w:r w:rsidR="009079D7" w:rsidRPr="00064896">
        <w:rPr>
          <w:rFonts w:ascii="Verdana" w:eastAsia="Times New Roman" w:hAnsi="Verdana" w:cs="Times New Roman"/>
          <w:color w:val="FF0000"/>
          <w:vertAlign w:val="superscript"/>
          <w:lang w:eastAsia="en-PH"/>
        </w:rPr>
        <w:t>]</w:t>
      </w:r>
    </w:p>
    <w:p w:rsidR="00064896" w:rsidRPr="00064896" w:rsidRDefault="00064896" w:rsidP="00064896">
      <w:pPr>
        <w:spacing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lastRenderedPageBreak/>
        <w:br/>
        <w:t>The respondent opposed the </w:t>
      </w:r>
      <w:r w:rsidRPr="00064896">
        <w:rPr>
          <w:rFonts w:ascii="Verdana" w:eastAsia="Times New Roman" w:hAnsi="Verdana" w:cs="Times New Roman"/>
          <w:i/>
          <w:iCs/>
          <w:color w:val="000000"/>
          <w:lang w:eastAsia="en-PH"/>
        </w:rPr>
        <w:t>motion for partial summary judgment</w:t>
      </w:r>
      <w:r w:rsidRPr="00064896">
        <w:rPr>
          <w:rFonts w:ascii="Verdana" w:eastAsia="Times New Roman" w:hAnsi="Verdana" w:cs="Times New Roman"/>
          <w:color w:val="000000"/>
          <w:lang w:eastAsia="en-PH"/>
        </w:rPr>
        <w:t>, stating that the determination of the unrestricted retained earnings should be made at the end of the fiscal year of the respondent, and that the petitioners did not have a cause of action against the respondent.</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During the pendency of the </w:t>
      </w:r>
      <w:r w:rsidRPr="00064896">
        <w:rPr>
          <w:rFonts w:ascii="Verdana" w:eastAsia="Times New Roman" w:hAnsi="Verdana" w:cs="Times New Roman"/>
          <w:i/>
          <w:iCs/>
          <w:color w:val="000000"/>
          <w:lang w:eastAsia="en-PH"/>
        </w:rPr>
        <w:t>motion for partial summary judgment</w:t>
      </w:r>
      <w:r w:rsidRPr="00064896">
        <w:rPr>
          <w:rFonts w:ascii="Verdana" w:eastAsia="Times New Roman" w:hAnsi="Verdana" w:cs="Times New Roman"/>
          <w:color w:val="000000"/>
          <w:lang w:eastAsia="en-PH"/>
        </w:rPr>
        <w:t>, however, the Presiding Judge of Branch 133 transmitted the records to the Clerk of Court for re-raffling to any of the RTC's special commercial courts in Makati City due to the case being an intra-corporate dispute. Hence, Civil Case No. 01-086 was re-raffled to Branch 142.</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 xml:space="preserve">Nevertheless, because the principal office of the respondent was in Manila, Civil Case No. 01-086 was ultimately transferred to Branch 46 of the RTC in Manila, presided by Judge </w:t>
      </w:r>
      <w:proofErr w:type="spellStart"/>
      <w:r w:rsidRPr="00064896">
        <w:rPr>
          <w:rFonts w:ascii="Verdana" w:eastAsia="Times New Roman" w:hAnsi="Verdana" w:cs="Times New Roman"/>
          <w:color w:val="000000"/>
          <w:lang w:eastAsia="en-PH"/>
        </w:rPr>
        <w:t>Artemio</w:t>
      </w:r>
      <w:proofErr w:type="spellEnd"/>
      <w:r w:rsidRPr="00064896">
        <w:rPr>
          <w:rFonts w:ascii="Verdana" w:eastAsia="Times New Roman" w:hAnsi="Verdana" w:cs="Times New Roman"/>
          <w:color w:val="000000"/>
          <w:lang w:eastAsia="en-PH"/>
        </w:rPr>
        <w:t xml:space="preserve"> </w:t>
      </w:r>
      <w:proofErr w:type="spellStart"/>
      <w:r w:rsidRPr="00064896">
        <w:rPr>
          <w:rFonts w:ascii="Verdana" w:eastAsia="Times New Roman" w:hAnsi="Verdana" w:cs="Times New Roman"/>
          <w:color w:val="000000"/>
          <w:lang w:eastAsia="en-PH"/>
        </w:rPr>
        <w:t>Tipon</w:t>
      </w:r>
      <w:proofErr w:type="spellEnd"/>
      <w:r w:rsidRPr="00064896">
        <w:rPr>
          <w:rFonts w:ascii="Verdana" w:eastAsia="Times New Roman" w:hAnsi="Verdana" w:cs="Times New Roman"/>
          <w:color w:val="000000"/>
          <w:lang w:eastAsia="en-PH"/>
        </w:rPr>
        <w:t>,</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7"/>
      </w:r>
      <w:r w:rsidR="009079D7" w:rsidRPr="00064896">
        <w:rPr>
          <w:rFonts w:ascii="Verdana" w:eastAsia="Times New Roman" w:hAnsi="Verdana" w:cs="Times New Roman"/>
          <w:color w:val="FF0000"/>
          <w:vertAlign w:val="superscript"/>
          <w:lang w:eastAsia="en-PH"/>
        </w:rPr>
        <w:t>]</w:t>
      </w:r>
      <w:r w:rsidRPr="00064896">
        <w:rPr>
          <w:rFonts w:ascii="Verdana" w:eastAsia="Times New Roman" w:hAnsi="Verdana" w:cs="Times New Roman"/>
          <w:color w:val="000000"/>
          <w:lang w:eastAsia="en-PH"/>
        </w:rPr>
        <w:t> pursuant to the </w:t>
      </w:r>
      <w:r w:rsidRPr="00064896">
        <w:rPr>
          <w:rFonts w:ascii="Verdana" w:eastAsia="Times New Roman" w:hAnsi="Verdana" w:cs="Times New Roman"/>
          <w:i/>
          <w:iCs/>
          <w:color w:val="000000"/>
          <w:lang w:eastAsia="en-PH"/>
        </w:rPr>
        <w:t>Interim Rules of Procedure on Intra-Corporate Controversies</w:t>
      </w:r>
      <w:r w:rsidRPr="00064896">
        <w:rPr>
          <w:rFonts w:ascii="Verdana" w:eastAsia="Times New Roman" w:hAnsi="Verdana" w:cs="Times New Roman"/>
          <w:color w:val="000000"/>
          <w:lang w:eastAsia="en-PH"/>
        </w:rPr>
        <w:t> (Interim Rules) requiring intra-corporate cases to be brought in the RTC exercising jurisdiction over the place where the principal office of the corporation was found.</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 xml:space="preserve">After the conference in Civil Case No. 01-086 set on October 23, 2002, which the petitioners' counsel did not attend, Judge </w:t>
      </w:r>
      <w:proofErr w:type="spellStart"/>
      <w:r w:rsidRPr="00064896">
        <w:rPr>
          <w:rFonts w:ascii="Verdana" w:eastAsia="Times New Roman" w:hAnsi="Verdana" w:cs="Times New Roman"/>
          <w:color w:val="000000"/>
          <w:lang w:eastAsia="en-PH"/>
        </w:rPr>
        <w:t>Tipon</w:t>
      </w:r>
      <w:proofErr w:type="spellEnd"/>
      <w:r w:rsidRPr="00064896">
        <w:rPr>
          <w:rFonts w:ascii="Verdana" w:eastAsia="Times New Roman" w:hAnsi="Verdana" w:cs="Times New Roman"/>
          <w:color w:val="000000"/>
          <w:lang w:eastAsia="en-PH"/>
        </w:rPr>
        <w:t xml:space="preserve"> issued an order,</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8"/>
      </w:r>
      <w:r w:rsidR="009079D7" w:rsidRPr="00064896">
        <w:rPr>
          <w:rFonts w:ascii="Verdana" w:eastAsia="Times New Roman" w:hAnsi="Verdana" w:cs="Times New Roman"/>
          <w:color w:val="FF0000"/>
          <w:vertAlign w:val="superscript"/>
          <w:lang w:eastAsia="en-PH"/>
        </w:rPr>
        <w:t>]</w:t>
      </w:r>
      <w:r w:rsidRPr="00064896">
        <w:rPr>
          <w:rFonts w:ascii="Verdana" w:eastAsia="Times New Roman" w:hAnsi="Verdana" w:cs="Times New Roman"/>
          <w:color w:val="000000"/>
          <w:lang w:eastAsia="en-PH"/>
        </w:rPr>
        <w:t> granting the petitioners' </w:t>
      </w:r>
      <w:r w:rsidRPr="00064896">
        <w:rPr>
          <w:rFonts w:ascii="Verdana" w:eastAsia="Times New Roman" w:hAnsi="Verdana" w:cs="Times New Roman"/>
          <w:i/>
          <w:iCs/>
          <w:color w:val="000000"/>
          <w:lang w:eastAsia="en-PH"/>
        </w:rPr>
        <w:t>motion for partial summary judgment</w:t>
      </w:r>
      <w:r w:rsidRPr="00064896">
        <w:rPr>
          <w:rFonts w:ascii="Verdana" w:eastAsia="Times New Roman" w:hAnsi="Verdana" w:cs="Times New Roman"/>
          <w:color w:val="000000"/>
          <w:lang w:eastAsia="en-PH"/>
        </w:rPr>
        <w:t>, stating:</w:t>
      </w:r>
    </w:p>
    <w:p w:rsidR="00064896" w:rsidRPr="00064896" w:rsidRDefault="00064896" w:rsidP="00064896">
      <w:pPr>
        <w:spacing w:after="0" w:line="240" w:lineRule="auto"/>
        <w:ind w:left="720"/>
        <w:rPr>
          <w:rFonts w:eastAsia="Times New Roman" w:cstheme="minorHAnsi"/>
          <w:color w:val="000000"/>
          <w:lang w:eastAsia="en-PH"/>
        </w:rPr>
      </w:pPr>
      <w:r w:rsidRPr="00064896">
        <w:rPr>
          <w:rFonts w:eastAsia="Times New Roman" w:cstheme="minorHAnsi"/>
          <w:color w:val="000000"/>
          <w:lang w:eastAsia="en-PH"/>
        </w:rPr>
        <w:t>As to the motion for partial summary judgment, there is no question that the 3-man committee mandated to appraise the shareholdings of plaintiff submitted its recommendation on October 27, 2000 fixing the fair value of the shares of stocks of the plaintiff at P2.54 per share. Under Section 82 of the Corporation Code:</w:t>
      </w:r>
    </w:p>
    <w:p w:rsidR="00064896" w:rsidRDefault="00064896" w:rsidP="00064896">
      <w:pPr>
        <w:spacing w:after="0" w:line="240" w:lineRule="auto"/>
        <w:ind w:left="1440"/>
        <w:rPr>
          <w:rFonts w:eastAsia="Times New Roman" w:cstheme="minorHAnsi"/>
          <w:color w:val="000000"/>
          <w:lang w:eastAsia="en-PH"/>
        </w:rPr>
      </w:pPr>
    </w:p>
    <w:p w:rsidR="00064896" w:rsidRPr="00064896" w:rsidRDefault="00064896" w:rsidP="00064896">
      <w:pPr>
        <w:spacing w:after="0" w:line="240" w:lineRule="auto"/>
        <w:ind w:left="1440"/>
        <w:rPr>
          <w:rFonts w:eastAsia="Times New Roman" w:cstheme="minorHAnsi"/>
          <w:color w:val="000000"/>
          <w:lang w:eastAsia="en-PH"/>
        </w:rPr>
      </w:pPr>
      <w:r w:rsidRPr="00064896">
        <w:rPr>
          <w:rFonts w:eastAsia="Times New Roman" w:cstheme="minorHAnsi"/>
          <w:color w:val="000000"/>
          <w:lang w:eastAsia="en-PH"/>
        </w:rPr>
        <w:t>"The findings of the majority of the appraisers shall be final, and the award shall be paid by the corporation within thirty (30) days after the award is made."</w:t>
      </w:r>
      <w:r w:rsidRPr="00064896">
        <w:rPr>
          <w:rFonts w:eastAsia="Times New Roman" w:cstheme="minorHAnsi"/>
          <w:color w:val="000000"/>
          <w:lang w:eastAsia="en-PH"/>
        </w:rPr>
        <w:br/>
      </w:r>
      <w:r w:rsidRPr="00064896">
        <w:rPr>
          <w:rFonts w:eastAsia="Times New Roman" w:cstheme="minorHAnsi"/>
          <w:color w:val="000000"/>
          <w:lang w:eastAsia="en-PH"/>
        </w:rPr>
        <w:br/>
        <w:t>"The only restriction imposed by the Corporation Code is-"</w:t>
      </w:r>
      <w:r w:rsidRPr="00064896">
        <w:rPr>
          <w:rFonts w:eastAsia="Times New Roman" w:cstheme="minorHAnsi"/>
          <w:color w:val="000000"/>
          <w:lang w:eastAsia="en-PH"/>
        </w:rPr>
        <w:br/>
      </w:r>
      <w:r w:rsidRPr="00064896">
        <w:rPr>
          <w:rFonts w:eastAsia="Times New Roman" w:cstheme="minorHAnsi"/>
          <w:color w:val="000000"/>
          <w:lang w:eastAsia="en-PH"/>
        </w:rPr>
        <w:br/>
        <w:t xml:space="preserve">"That no payment shall be made to any dissenting stockholder unless the corporation has unrestricted retained </w:t>
      </w:r>
      <w:proofErr w:type="spellStart"/>
      <w:r w:rsidRPr="00064896">
        <w:rPr>
          <w:rFonts w:eastAsia="Times New Roman" w:cstheme="minorHAnsi"/>
          <w:color w:val="000000"/>
          <w:lang w:eastAsia="en-PH"/>
        </w:rPr>
        <w:t>earning</w:t>
      </w:r>
      <w:proofErr w:type="spellEnd"/>
      <w:r w:rsidRPr="00064896">
        <w:rPr>
          <w:rFonts w:eastAsia="Times New Roman" w:cstheme="minorHAnsi"/>
          <w:color w:val="000000"/>
          <w:lang w:eastAsia="en-PH"/>
        </w:rPr>
        <w:t xml:space="preserve"> in its books to cover such payment."</w:t>
      </w:r>
    </w:p>
    <w:p w:rsidR="00064896" w:rsidRDefault="00064896" w:rsidP="00064896">
      <w:pPr>
        <w:spacing w:after="0" w:line="240" w:lineRule="auto"/>
        <w:ind w:left="720"/>
        <w:rPr>
          <w:rFonts w:eastAsia="Times New Roman" w:cstheme="minorHAnsi"/>
          <w:color w:val="000000"/>
          <w:lang w:eastAsia="en-PH"/>
        </w:rPr>
      </w:pPr>
    </w:p>
    <w:p w:rsidR="00064896" w:rsidRPr="00064896" w:rsidRDefault="00064896" w:rsidP="00064896">
      <w:pPr>
        <w:spacing w:after="0" w:line="240" w:lineRule="auto"/>
        <w:ind w:left="720"/>
        <w:rPr>
          <w:rFonts w:ascii="Verdana" w:eastAsia="Times New Roman" w:hAnsi="Verdana" w:cs="Times New Roman"/>
          <w:color w:val="000000"/>
          <w:lang w:eastAsia="en-PH"/>
        </w:rPr>
      </w:pPr>
      <w:r w:rsidRPr="00064896">
        <w:rPr>
          <w:rFonts w:eastAsia="Times New Roman" w:cstheme="minorHAnsi"/>
          <w:color w:val="000000"/>
          <w:lang w:eastAsia="en-PH"/>
        </w:rPr>
        <w:t>The evidence submitted by plaintiffs shows that in its quarterly financial statement it submitted to the Securities and Exchange Commission, the defendant has retained earnings of P11</w:t>
      </w:r>
      <w:proofErr w:type="gramStart"/>
      <w:r w:rsidRPr="00064896">
        <w:rPr>
          <w:rFonts w:eastAsia="Times New Roman" w:cstheme="minorHAnsi"/>
          <w:color w:val="000000"/>
          <w:lang w:eastAsia="en-PH"/>
        </w:rPr>
        <w:t>,975,490</w:t>
      </w:r>
      <w:proofErr w:type="gramEnd"/>
      <w:r w:rsidRPr="00064896">
        <w:rPr>
          <w:rFonts w:eastAsia="Times New Roman" w:cstheme="minorHAnsi"/>
          <w:color w:val="000000"/>
          <w:lang w:eastAsia="en-PH"/>
        </w:rPr>
        <w:t xml:space="preserve"> as of March 21, 2002. This is not disputed by the defendant. Its only argument against paying is that there must be unrestricted retained </w:t>
      </w:r>
      <w:proofErr w:type="spellStart"/>
      <w:r w:rsidRPr="00064896">
        <w:rPr>
          <w:rFonts w:eastAsia="Times New Roman" w:cstheme="minorHAnsi"/>
          <w:color w:val="000000"/>
          <w:lang w:eastAsia="en-PH"/>
        </w:rPr>
        <w:t>earning</w:t>
      </w:r>
      <w:proofErr w:type="spellEnd"/>
      <w:r w:rsidRPr="00064896">
        <w:rPr>
          <w:rFonts w:eastAsia="Times New Roman" w:cstheme="minorHAnsi"/>
          <w:color w:val="000000"/>
          <w:lang w:eastAsia="en-PH"/>
        </w:rPr>
        <w:t xml:space="preserve"> at the time the demand for payment is made.</w:t>
      </w:r>
      <w:r w:rsidRPr="00064896">
        <w:rPr>
          <w:rFonts w:eastAsia="Times New Roman" w:cstheme="minorHAnsi"/>
          <w:color w:val="000000"/>
          <w:lang w:eastAsia="en-PH"/>
        </w:rPr>
        <w:br/>
      </w:r>
      <w:r w:rsidRPr="00064896">
        <w:rPr>
          <w:rFonts w:eastAsia="Times New Roman" w:cstheme="minorHAnsi"/>
          <w:color w:val="000000"/>
          <w:lang w:eastAsia="en-PH"/>
        </w:rPr>
        <w:br/>
        <w:t>This certainly is a very narrow concept of the appraisal right of a stockholder. The law does not say that the unrestricted retained earnings must exist at the time of the demand. Even if there are no retained earnings at the time the demand is made if there are retained earnings later, the fair value of such stocks must be paid. The only restriction is that there must be sufficient funds to cover the creditors after the dissenting stockholder is paid. No such allegations have been made by the defendant.</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9"/>
      </w:r>
      <w:r w:rsidR="009079D7" w:rsidRPr="00064896">
        <w:rPr>
          <w:rFonts w:ascii="Verdana" w:eastAsia="Times New Roman" w:hAnsi="Verdana" w:cs="Times New Roman"/>
          <w:color w:val="FF0000"/>
          <w:vertAlign w:val="superscript"/>
          <w:lang w:eastAsia="en-PH"/>
        </w:rPr>
        <w:t>]</w:t>
      </w:r>
    </w:p>
    <w:p w:rsidR="00064896" w:rsidRPr="00064896" w:rsidRDefault="00064896" w:rsidP="00064896">
      <w:pPr>
        <w:spacing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lastRenderedPageBreak/>
        <w:br/>
        <w:t>On November 12, 2002, the respondent filed a </w:t>
      </w:r>
      <w:r w:rsidRPr="00064896">
        <w:rPr>
          <w:rFonts w:ascii="Verdana" w:eastAsia="Times New Roman" w:hAnsi="Verdana" w:cs="Times New Roman"/>
          <w:i/>
          <w:iCs/>
          <w:color w:val="000000"/>
          <w:lang w:eastAsia="en-PH"/>
        </w:rPr>
        <w:t>motion for reconsideration</w:t>
      </w:r>
      <w:r w:rsidRPr="00064896">
        <w:rPr>
          <w:rFonts w:ascii="Verdana" w:eastAsia="Times New Roman" w:hAnsi="Verdana" w:cs="Times New Roman"/>
          <w:color w:val="000000"/>
          <w:lang w:eastAsia="en-PH"/>
        </w:rPr>
        <w:t>.</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On the scheduled hearing of the </w:t>
      </w:r>
      <w:r w:rsidRPr="00064896">
        <w:rPr>
          <w:rFonts w:ascii="Verdana" w:eastAsia="Times New Roman" w:hAnsi="Verdana" w:cs="Times New Roman"/>
          <w:i/>
          <w:iCs/>
          <w:color w:val="000000"/>
          <w:lang w:eastAsia="en-PH"/>
        </w:rPr>
        <w:t>motion for reconsideration</w:t>
      </w:r>
      <w:r w:rsidRPr="00064896">
        <w:rPr>
          <w:rFonts w:ascii="Verdana" w:eastAsia="Times New Roman" w:hAnsi="Verdana" w:cs="Times New Roman"/>
          <w:color w:val="000000"/>
          <w:lang w:eastAsia="en-PH"/>
        </w:rPr>
        <w:t> on November 22, 2002, the petitioners filed a </w:t>
      </w:r>
      <w:r w:rsidRPr="00064896">
        <w:rPr>
          <w:rFonts w:ascii="Verdana" w:eastAsia="Times New Roman" w:hAnsi="Verdana" w:cs="Times New Roman"/>
          <w:i/>
          <w:iCs/>
          <w:color w:val="000000"/>
          <w:lang w:eastAsia="en-PH"/>
        </w:rPr>
        <w:t>motion for immediate execution</w:t>
      </w:r>
      <w:r w:rsidRPr="00064896">
        <w:rPr>
          <w:rFonts w:ascii="Verdana" w:eastAsia="Times New Roman" w:hAnsi="Verdana" w:cs="Times New Roman"/>
          <w:color w:val="000000"/>
          <w:lang w:eastAsia="en-PH"/>
        </w:rPr>
        <w:t> and a</w:t>
      </w:r>
      <w:r w:rsidRPr="00064896">
        <w:rPr>
          <w:rFonts w:ascii="Verdana" w:eastAsia="Times New Roman" w:hAnsi="Verdana" w:cs="Times New Roman"/>
          <w:i/>
          <w:iCs/>
          <w:color w:val="000000"/>
          <w:lang w:eastAsia="en-PH"/>
        </w:rPr>
        <w:t> motion to strike out motion for reconsideration. </w:t>
      </w:r>
      <w:r w:rsidRPr="00064896">
        <w:rPr>
          <w:rFonts w:ascii="Verdana" w:eastAsia="Times New Roman" w:hAnsi="Verdana" w:cs="Times New Roman"/>
          <w:color w:val="000000"/>
          <w:lang w:eastAsia="en-PH"/>
        </w:rPr>
        <w:t>In the latter motion, they pointed out that the </w:t>
      </w:r>
      <w:r w:rsidRPr="00064896">
        <w:rPr>
          <w:rFonts w:ascii="Verdana" w:eastAsia="Times New Roman" w:hAnsi="Verdana" w:cs="Times New Roman"/>
          <w:i/>
          <w:iCs/>
          <w:color w:val="000000"/>
          <w:lang w:eastAsia="en-PH"/>
        </w:rPr>
        <w:t>motion for reconsideration</w:t>
      </w:r>
      <w:r w:rsidRPr="00064896">
        <w:rPr>
          <w:rFonts w:ascii="Verdana" w:eastAsia="Times New Roman" w:hAnsi="Verdana" w:cs="Times New Roman"/>
          <w:color w:val="000000"/>
          <w:lang w:eastAsia="en-PH"/>
        </w:rPr>
        <w:t> was prohibited by Section 8 of the Interim Rules</w:t>
      </w:r>
      <w:r w:rsidRPr="00064896">
        <w:rPr>
          <w:rFonts w:ascii="Verdana" w:eastAsia="Times New Roman" w:hAnsi="Verdana" w:cs="Times New Roman"/>
          <w:i/>
          <w:iCs/>
          <w:color w:val="000000"/>
          <w:lang w:eastAsia="en-PH"/>
        </w:rPr>
        <w:t>. </w:t>
      </w:r>
      <w:r w:rsidRPr="00064896">
        <w:rPr>
          <w:rFonts w:ascii="Verdana" w:eastAsia="Times New Roman" w:hAnsi="Verdana" w:cs="Times New Roman"/>
          <w:color w:val="000000"/>
          <w:lang w:eastAsia="en-PH"/>
        </w:rPr>
        <w:t xml:space="preserve">Thus, also on November 22, 2002, Judge </w:t>
      </w:r>
      <w:proofErr w:type="spellStart"/>
      <w:r w:rsidRPr="00064896">
        <w:rPr>
          <w:rFonts w:ascii="Verdana" w:eastAsia="Times New Roman" w:hAnsi="Verdana" w:cs="Times New Roman"/>
          <w:color w:val="000000"/>
          <w:lang w:eastAsia="en-PH"/>
        </w:rPr>
        <w:t>Tipon</w:t>
      </w:r>
      <w:proofErr w:type="spellEnd"/>
      <w:r w:rsidRPr="00064896">
        <w:rPr>
          <w:rFonts w:ascii="Verdana" w:eastAsia="Times New Roman" w:hAnsi="Verdana" w:cs="Times New Roman"/>
          <w:color w:val="000000"/>
          <w:lang w:eastAsia="en-PH"/>
        </w:rPr>
        <w:t xml:space="preserve"> denied the </w:t>
      </w:r>
      <w:r w:rsidRPr="00064896">
        <w:rPr>
          <w:rFonts w:ascii="Verdana" w:eastAsia="Times New Roman" w:hAnsi="Verdana" w:cs="Times New Roman"/>
          <w:i/>
          <w:iCs/>
          <w:color w:val="000000"/>
          <w:lang w:eastAsia="en-PH"/>
        </w:rPr>
        <w:t>motion for reconsideration</w:t>
      </w:r>
      <w:r w:rsidRPr="00064896">
        <w:rPr>
          <w:rFonts w:ascii="Verdana" w:eastAsia="Times New Roman" w:hAnsi="Verdana" w:cs="Times New Roman"/>
          <w:color w:val="000000"/>
          <w:lang w:eastAsia="en-PH"/>
        </w:rPr>
        <w:t> and granted the petitioners' </w:t>
      </w:r>
      <w:r w:rsidRPr="00064896">
        <w:rPr>
          <w:rFonts w:ascii="Verdana" w:eastAsia="Times New Roman" w:hAnsi="Verdana" w:cs="Times New Roman"/>
          <w:i/>
          <w:iCs/>
          <w:color w:val="000000"/>
          <w:lang w:eastAsia="en-PH"/>
        </w:rPr>
        <w:t>motion for immediate execution</w:t>
      </w:r>
      <w:r w:rsidRPr="00064896">
        <w:rPr>
          <w:rFonts w:ascii="Verdana" w:eastAsia="Times New Roman" w:hAnsi="Verdana" w:cs="Times New Roman"/>
          <w:color w:val="000000"/>
          <w:lang w:eastAsia="en-PH"/>
        </w:rPr>
        <w:t>.</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10"/>
      </w:r>
      <w:proofErr w:type="gramStart"/>
      <w:r w:rsidR="009079D7" w:rsidRPr="00064896">
        <w:rPr>
          <w:rFonts w:ascii="Verdana" w:eastAsia="Times New Roman" w:hAnsi="Verdana" w:cs="Times New Roman"/>
          <w:color w:val="FF0000"/>
          <w:vertAlign w:val="superscript"/>
          <w:lang w:eastAsia="en-PH"/>
        </w:rPr>
        <w:t>]</w:t>
      </w:r>
      <w:proofErr w:type="gramEnd"/>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Subsequently, on November 28, 2002, the RTC issued a </w:t>
      </w:r>
      <w:r w:rsidRPr="00064896">
        <w:rPr>
          <w:rFonts w:ascii="Verdana" w:eastAsia="Times New Roman" w:hAnsi="Verdana" w:cs="Times New Roman"/>
          <w:i/>
          <w:iCs/>
          <w:color w:val="000000"/>
          <w:lang w:eastAsia="en-PH"/>
        </w:rPr>
        <w:t>writ of execution</w:t>
      </w:r>
      <w:r w:rsidRPr="00064896">
        <w:rPr>
          <w:rFonts w:ascii="Verdana" w:eastAsia="Times New Roman" w:hAnsi="Verdana" w:cs="Times New Roman"/>
          <w:color w:val="000000"/>
          <w:lang w:eastAsia="en-PH"/>
        </w:rPr>
        <w:t>.</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11"/>
      </w:r>
      <w:proofErr w:type="gramStart"/>
      <w:r w:rsidR="009079D7" w:rsidRPr="00064896">
        <w:rPr>
          <w:rFonts w:ascii="Verdana" w:eastAsia="Times New Roman" w:hAnsi="Verdana" w:cs="Times New Roman"/>
          <w:color w:val="FF0000"/>
          <w:vertAlign w:val="superscript"/>
          <w:lang w:eastAsia="en-PH"/>
        </w:rPr>
        <w:t>]</w:t>
      </w:r>
      <w:proofErr w:type="gramEnd"/>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Aggrieved, the respondent commenced a special civil action for </w:t>
      </w:r>
      <w:r w:rsidRPr="00064896">
        <w:rPr>
          <w:rFonts w:ascii="Verdana" w:eastAsia="Times New Roman" w:hAnsi="Verdana" w:cs="Times New Roman"/>
          <w:i/>
          <w:iCs/>
          <w:color w:val="000000"/>
          <w:lang w:eastAsia="en-PH"/>
        </w:rPr>
        <w:t>certiorari</w:t>
      </w:r>
      <w:r w:rsidRPr="00064896">
        <w:rPr>
          <w:rFonts w:ascii="Verdana" w:eastAsia="Times New Roman" w:hAnsi="Verdana" w:cs="Times New Roman"/>
          <w:color w:val="000000"/>
          <w:lang w:eastAsia="en-PH"/>
        </w:rPr>
        <w:t xml:space="preserve"> in the CA to challenge the two </w:t>
      </w:r>
      <w:proofErr w:type="spellStart"/>
      <w:r w:rsidRPr="00064896">
        <w:rPr>
          <w:rFonts w:ascii="Verdana" w:eastAsia="Times New Roman" w:hAnsi="Verdana" w:cs="Times New Roman"/>
          <w:color w:val="000000"/>
          <w:lang w:eastAsia="en-PH"/>
        </w:rPr>
        <w:t>aforecited</w:t>
      </w:r>
      <w:proofErr w:type="spellEnd"/>
      <w:r w:rsidRPr="00064896">
        <w:rPr>
          <w:rFonts w:ascii="Verdana" w:eastAsia="Times New Roman" w:hAnsi="Verdana" w:cs="Times New Roman"/>
          <w:color w:val="000000"/>
          <w:lang w:eastAsia="en-PH"/>
        </w:rPr>
        <w:t xml:space="preserve"> orders of Judge </w:t>
      </w:r>
      <w:proofErr w:type="spellStart"/>
      <w:r w:rsidRPr="00064896">
        <w:rPr>
          <w:rFonts w:ascii="Verdana" w:eastAsia="Times New Roman" w:hAnsi="Verdana" w:cs="Times New Roman"/>
          <w:color w:val="000000"/>
          <w:lang w:eastAsia="en-PH"/>
        </w:rPr>
        <w:t>Tipon</w:t>
      </w:r>
      <w:proofErr w:type="spellEnd"/>
      <w:r w:rsidRPr="00064896">
        <w:rPr>
          <w:rFonts w:ascii="Verdana" w:eastAsia="Times New Roman" w:hAnsi="Verdana" w:cs="Times New Roman"/>
          <w:color w:val="000000"/>
          <w:lang w:eastAsia="en-PH"/>
        </w:rPr>
        <w:t>, claiming that:</w:t>
      </w:r>
    </w:p>
    <w:p w:rsidR="00064896" w:rsidRPr="00064896" w:rsidRDefault="00064896" w:rsidP="00064896">
      <w:pPr>
        <w:spacing w:after="0" w:line="240" w:lineRule="auto"/>
        <w:ind w:left="720"/>
        <w:jc w:val="center"/>
        <w:rPr>
          <w:rFonts w:ascii="Times New Roman" w:eastAsia="Times New Roman" w:hAnsi="Times New Roman" w:cs="Times New Roman"/>
          <w:color w:val="000000"/>
          <w:lang w:eastAsia="en-PH"/>
        </w:rPr>
      </w:pPr>
      <w:r w:rsidRPr="00064896">
        <w:rPr>
          <w:rFonts w:ascii="Times New Roman" w:eastAsia="Times New Roman" w:hAnsi="Times New Roman" w:cs="Times New Roman"/>
          <w:color w:val="000000"/>
          <w:lang w:eastAsia="en-PH"/>
        </w:rPr>
        <w:t>A.</w:t>
      </w:r>
    </w:p>
    <w:p w:rsidR="00064896" w:rsidRPr="00064896" w:rsidRDefault="00064896" w:rsidP="00064896">
      <w:pPr>
        <w:spacing w:after="240" w:line="240" w:lineRule="auto"/>
        <w:ind w:left="720"/>
        <w:rPr>
          <w:rFonts w:ascii="Times New Roman" w:eastAsia="Times New Roman" w:hAnsi="Times New Roman" w:cs="Times New Roman"/>
          <w:color w:val="000000"/>
          <w:lang w:eastAsia="en-PH"/>
        </w:rPr>
      </w:pPr>
      <w:r w:rsidRPr="00064896">
        <w:rPr>
          <w:rFonts w:ascii="Times New Roman" w:eastAsia="Times New Roman" w:hAnsi="Times New Roman" w:cs="Times New Roman"/>
          <w:color w:val="000000"/>
          <w:lang w:eastAsia="en-PH"/>
        </w:rPr>
        <w:br/>
        <w:t>JUDGE TIPON GRAVELY ABUSED HIS DISCRETION IN GRANTING SUMMARY JUDGMENT TO THE SPOUSES TURNER, BECAUSE AT THE TIME THE "COMPLAINT" WAS FILED, LSC HAD NO RETAINED EARNINGS, AND THUS WAS COMPLYING WITH THE LAW, AND NOT VIOLATING ANY RIGHTS OF THE SPOUSES TURNER, WHEN IT REFUSED TO PAY THEM THE VALUE OF THEIR LSC SHARES. ANY RETAINED EARNINGS MADE A YEAR AFTER THE "COMPLAINT" WAS FILED ARE IRRELEVANT TO THE SPOUSES TURNER'S RIGHT TO RECOVER UNDER THE "COMPLAINT", BECAUSE THE WELL-SETTLED RULE, REPEATEDLY BROUGHT TO JUDGE TIPON'S ATTENTION, IS "IF NO RIGHT EXISTED AT THE TIME (T)HE ACTION WAS COMMENCED THE SUIT CANNOT BE MAINTAINED, ALTHOUGH SUCH RIGHT OF ACTION MAY HAVE ACCRUED THEREAFTER.</w:t>
      </w:r>
    </w:p>
    <w:p w:rsidR="00064896" w:rsidRPr="00064896" w:rsidRDefault="00064896" w:rsidP="00064896">
      <w:pPr>
        <w:spacing w:after="0" w:line="240" w:lineRule="auto"/>
        <w:ind w:left="720"/>
        <w:jc w:val="center"/>
        <w:rPr>
          <w:rFonts w:ascii="Times New Roman" w:eastAsia="Times New Roman" w:hAnsi="Times New Roman" w:cs="Times New Roman"/>
          <w:color w:val="000000"/>
          <w:lang w:eastAsia="en-PH"/>
        </w:rPr>
      </w:pPr>
      <w:r w:rsidRPr="00064896">
        <w:rPr>
          <w:rFonts w:ascii="Times New Roman" w:eastAsia="Times New Roman" w:hAnsi="Times New Roman" w:cs="Times New Roman"/>
          <w:color w:val="000000"/>
          <w:lang w:eastAsia="en-PH"/>
        </w:rPr>
        <w:t>B.</w:t>
      </w:r>
    </w:p>
    <w:p w:rsidR="00064896" w:rsidRPr="00064896" w:rsidRDefault="00064896" w:rsidP="00064896">
      <w:pPr>
        <w:spacing w:after="0" w:line="240" w:lineRule="auto"/>
        <w:ind w:left="720"/>
        <w:rPr>
          <w:rFonts w:ascii="Times New Roman" w:eastAsia="Times New Roman" w:hAnsi="Times New Roman" w:cs="Times New Roman"/>
          <w:color w:val="000000"/>
          <w:lang w:eastAsia="en-PH"/>
        </w:rPr>
      </w:pPr>
      <w:r w:rsidRPr="00064896">
        <w:rPr>
          <w:rFonts w:ascii="Times New Roman" w:eastAsia="Times New Roman" w:hAnsi="Times New Roman" w:cs="Times New Roman"/>
          <w:color w:val="000000"/>
          <w:lang w:eastAsia="en-PH"/>
        </w:rPr>
        <w:br/>
        <w:t>JUDGE TIPON IGNORED CONTROLLING CASE LAW, AND THUS GRAVELY ABUSED HIS DISCRETION, WHEN HE GRANTED AND ISSUED THE QUESTIONED "WRIT OF EXECUTION" DIRECTING THE EXECUTION OF HIS PARTIAL SUMMARY JUDGMENT IN FAVOR OF THE SPOUSES TURNER, BECAUSE THAT JUDGMENT IS NOT A FINAL JUDGMENT UNDER SECTION 1 OF RULE 39 OF THE RULES OF COURT AND THEREFORE CANNOT BE SUBJECT OF EXECUTION UNDER THE SUPREME COURT'S CATEGORICAL HOLDING IN </w:t>
      </w:r>
      <w:r w:rsidRPr="00064896">
        <w:rPr>
          <w:rFonts w:ascii="Times New Roman" w:eastAsia="Times New Roman" w:hAnsi="Times New Roman" w:cs="Times New Roman"/>
          <w:i/>
          <w:iCs/>
          <w:color w:val="000000"/>
          <w:lang w:eastAsia="en-PH"/>
        </w:rPr>
        <w:t xml:space="preserve">PROVINCE OF PANGASINAN VS. </w:t>
      </w:r>
      <w:proofErr w:type="gramStart"/>
      <w:r w:rsidRPr="00064896">
        <w:rPr>
          <w:rFonts w:ascii="Times New Roman" w:eastAsia="Times New Roman" w:hAnsi="Times New Roman" w:cs="Times New Roman"/>
          <w:i/>
          <w:iCs/>
          <w:color w:val="000000"/>
          <w:lang w:eastAsia="en-PH"/>
        </w:rPr>
        <w:t>COURT OF APPEALS.</w:t>
      </w:r>
      <w:proofErr w:type="gramEnd"/>
    </w:p>
    <w:p w:rsidR="00064896" w:rsidRPr="00064896" w:rsidRDefault="00064896" w:rsidP="00064896">
      <w:pPr>
        <w:spacing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br/>
        <w:t>Upon the respondent's application, the CA issued a temporary restraining order (TRO), enjoining the petitioners, and their agents and representatives from enforcing the </w:t>
      </w:r>
      <w:r w:rsidRPr="00064896">
        <w:rPr>
          <w:rFonts w:ascii="Verdana" w:eastAsia="Times New Roman" w:hAnsi="Verdana" w:cs="Times New Roman"/>
          <w:i/>
          <w:iCs/>
          <w:color w:val="000000"/>
          <w:lang w:eastAsia="en-PH"/>
        </w:rPr>
        <w:t>writ of execution</w:t>
      </w:r>
      <w:r w:rsidRPr="00064896">
        <w:rPr>
          <w:rFonts w:ascii="Verdana" w:eastAsia="Times New Roman" w:hAnsi="Verdana" w:cs="Times New Roman"/>
          <w:color w:val="000000"/>
          <w:lang w:eastAsia="en-PH"/>
        </w:rPr>
        <w:t>. By then, however, the </w:t>
      </w:r>
      <w:r w:rsidRPr="00064896">
        <w:rPr>
          <w:rFonts w:ascii="Verdana" w:eastAsia="Times New Roman" w:hAnsi="Verdana" w:cs="Times New Roman"/>
          <w:i/>
          <w:iCs/>
          <w:color w:val="000000"/>
          <w:lang w:eastAsia="en-PH"/>
        </w:rPr>
        <w:t>writ of execution</w:t>
      </w:r>
      <w:r w:rsidRPr="00064896">
        <w:rPr>
          <w:rFonts w:ascii="Verdana" w:eastAsia="Times New Roman" w:hAnsi="Verdana" w:cs="Times New Roman"/>
          <w:color w:val="000000"/>
          <w:lang w:eastAsia="en-PH"/>
        </w:rPr>
        <w:t> had been partially enforced.</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The TRO lapsed without the CA issuing a writ of preliminary injunction to prevent the execution. Thereupon, the sheriff resumed the enforcement of the </w:t>
      </w:r>
      <w:r w:rsidRPr="00064896">
        <w:rPr>
          <w:rFonts w:ascii="Verdana" w:eastAsia="Times New Roman" w:hAnsi="Verdana" w:cs="Times New Roman"/>
          <w:i/>
          <w:iCs/>
          <w:color w:val="000000"/>
          <w:lang w:eastAsia="en-PH"/>
        </w:rPr>
        <w:t>writ of execution.</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lastRenderedPageBreak/>
        <w:t>The CA promulgated its assailed decision on March 4, 2003</w:t>
      </w:r>
      <w:proofErr w:type="gramStart"/>
      <w:r w:rsidRPr="00064896">
        <w:rPr>
          <w:rFonts w:ascii="Verdana" w:eastAsia="Times New Roman" w:hAnsi="Verdana" w:cs="Times New Roman"/>
          <w:color w:val="000000"/>
          <w:lang w:eastAsia="en-PH"/>
        </w:rPr>
        <w:t>,</w:t>
      </w:r>
      <w:r w:rsidR="009079D7">
        <w:rPr>
          <w:rFonts w:ascii="Verdana" w:eastAsia="Times New Roman" w:hAnsi="Verdana" w:cs="Times New Roman"/>
          <w:color w:val="FF0000"/>
          <w:vertAlign w:val="superscript"/>
          <w:lang w:eastAsia="en-PH"/>
        </w:rPr>
        <w:t>[</w:t>
      </w:r>
      <w:proofErr w:type="gramEnd"/>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12"/>
      </w:r>
      <w:r w:rsidR="009079D7" w:rsidRPr="00064896">
        <w:rPr>
          <w:rFonts w:ascii="Verdana" w:eastAsia="Times New Roman" w:hAnsi="Verdana" w:cs="Times New Roman"/>
          <w:color w:val="FF0000"/>
          <w:vertAlign w:val="superscript"/>
          <w:lang w:eastAsia="en-PH"/>
        </w:rPr>
        <w:t>]</w:t>
      </w:r>
      <w:r w:rsidRPr="00064896">
        <w:rPr>
          <w:rFonts w:ascii="Verdana" w:eastAsia="Times New Roman" w:hAnsi="Verdana" w:cs="Times New Roman"/>
          <w:color w:val="000000"/>
          <w:lang w:eastAsia="en-PH"/>
        </w:rPr>
        <w:t> pertinently holding:</w:t>
      </w:r>
    </w:p>
    <w:p w:rsidR="00064896" w:rsidRPr="00064896" w:rsidRDefault="00064896" w:rsidP="00064896">
      <w:pPr>
        <w:spacing w:after="240" w:line="240" w:lineRule="auto"/>
        <w:ind w:left="720"/>
        <w:rPr>
          <w:rFonts w:eastAsia="Times New Roman" w:cstheme="minorHAnsi"/>
          <w:color w:val="000000"/>
          <w:lang w:eastAsia="en-PH"/>
        </w:rPr>
      </w:pPr>
      <w:r w:rsidRPr="00064896">
        <w:rPr>
          <w:rFonts w:eastAsia="Times New Roman" w:cstheme="minorHAnsi"/>
          <w:color w:val="000000"/>
          <w:lang w:eastAsia="en-PH"/>
        </w:rPr>
        <w:t>However, it is clear from the foregoing that the Turners' appraisal right is subject to the legal condition that no payment shall be made to any dissenting stockholder unless the corporation has unrestricted retained earnings in its books to cover such payment. Thus, the Supreme Court held that:</w:t>
      </w:r>
    </w:p>
    <w:p w:rsidR="00064896" w:rsidRPr="00064896" w:rsidRDefault="00064896" w:rsidP="00064896">
      <w:pPr>
        <w:spacing w:after="0" w:line="240" w:lineRule="auto"/>
        <w:ind w:left="1440"/>
        <w:rPr>
          <w:rFonts w:eastAsia="Times New Roman" w:cstheme="minorHAnsi"/>
          <w:color w:val="000000"/>
          <w:lang w:eastAsia="en-PH"/>
        </w:rPr>
      </w:pPr>
      <w:r w:rsidRPr="00064896">
        <w:rPr>
          <w:rFonts w:eastAsia="Times New Roman" w:cstheme="minorHAnsi"/>
          <w:color w:val="000000"/>
          <w:lang w:eastAsia="en-PH"/>
        </w:rPr>
        <w:t>The requirement of unrestricted retained earnings to cover the shares is based on the trust fund doctrine which means that the capital stock, property and other assets of a corporation are regarded as equity in trust for the payment of corporate creditors. The reason is that creditors of a corporation are preferred over the stockholders in the distribution of corporate assets. There can be no distribution of assets among the stockholders without first paying corporate creditors. Hence, any disposition of corporate funds to the prejudice of creditors is null and void. Creditors of a corporation have the right to assume that so long as there are outstanding debts and liabilities, the board of directors will not use the assets of the corporation to purchase its own stock.</w:t>
      </w:r>
    </w:p>
    <w:p w:rsidR="00064896" w:rsidRPr="00064896" w:rsidRDefault="00064896" w:rsidP="00064896">
      <w:pPr>
        <w:spacing w:after="240" w:line="240" w:lineRule="auto"/>
        <w:ind w:left="720"/>
        <w:rPr>
          <w:rFonts w:eastAsia="Times New Roman" w:cstheme="minorHAnsi"/>
          <w:color w:val="000000"/>
          <w:lang w:eastAsia="en-PH"/>
        </w:rPr>
      </w:pPr>
      <w:r w:rsidRPr="00064896">
        <w:rPr>
          <w:rFonts w:eastAsia="Times New Roman" w:cstheme="minorHAnsi"/>
          <w:color w:val="000000"/>
          <w:lang w:eastAsia="en-PH"/>
        </w:rPr>
        <w:br/>
        <w:t>In the instant case, it was established that there were no unrestricted retained earnings when the Turners filed their Complaint. In a letter dated 20 August 2000, petitioner informed the Turners that payment of their shares could only be made if it had unrestricted earnings in its books to cover the same. Petitioner reiterated this in a letter dated 2 January 2001 which further informed the Turners that its Financial Statement for fiscal year 1999 shows that its retained earnings ending December 31, 1999 was at a deficit in the amount of P72,973,114.00, a matter which has not been disputed by private respondents. Hence, in accordance with the second paragraph of sec. 82, BP 68 supra, the Turners' right to payment had not yet accrued when they filed their Complaint on January 22, 2001, albeit their appraisal right already existed.</w:t>
      </w:r>
      <w:r w:rsidRPr="00064896">
        <w:rPr>
          <w:rFonts w:eastAsia="Times New Roman" w:cstheme="minorHAnsi"/>
          <w:color w:val="000000"/>
          <w:lang w:eastAsia="en-PH"/>
        </w:rPr>
        <w:br/>
      </w:r>
      <w:r w:rsidRPr="00064896">
        <w:rPr>
          <w:rFonts w:eastAsia="Times New Roman" w:cstheme="minorHAnsi"/>
          <w:color w:val="000000"/>
          <w:lang w:eastAsia="en-PH"/>
        </w:rPr>
        <w:br/>
        <w:t>In Philippine American General Insurance Co. Inc. vs. Sweet Lines, Inc., the Supreme Court declared that:</w:t>
      </w:r>
    </w:p>
    <w:p w:rsidR="00064896" w:rsidRPr="00064896" w:rsidRDefault="00064896" w:rsidP="00064896">
      <w:pPr>
        <w:spacing w:after="0" w:line="240" w:lineRule="auto"/>
        <w:ind w:left="1440"/>
        <w:rPr>
          <w:rFonts w:eastAsia="Times New Roman" w:cstheme="minorHAnsi"/>
          <w:color w:val="000000"/>
          <w:lang w:eastAsia="en-PH"/>
        </w:rPr>
      </w:pPr>
      <w:r w:rsidRPr="00064896">
        <w:rPr>
          <w:rFonts w:eastAsia="Times New Roman" w:cstheme="minorHAnsi"/>
          <w:color w:val="000000"/>
          <w:lang w:eastAsia="en-PH"/>
        </w:rPr>
        <w:t>Now, before an action can properly be commenced all the essential elements of the cause of action must be in existence, that is, the cause of action must be complete. All valid conditions precedent to the institution of the particular action, whether prescribed by statute, fixed by agreement of the parties or implied by law must be performed or complied with before commencing the action, unless the conduct of the adverse party has been such as to prevent or waive performance or excuse non-performance of the condition.</w:t>
      </w:r>
      <w:r w:rsidRPr="00064896">
        <w:rPr>
          <w:rFonts w:eastAsia="Times New Roman" w:cstheme="minorHAnsi"/>
          <w:color w:val="000000"/>
          <w:lang w:eastAsia="en-PH"/>
        </w:rPr>
        <w:br/>
      </w:r>
      <w:r w:rsidRPr="00064896">
        <w:rPr>
          <w:rFonts w:eastAsia="Times New Roman" w:cstheme="minorHAnsi"/>
          <w:color w:val="000000"/>
          <w:lang w:eastAsia="en-PH"/>
        </w:rPr>
        <w:br/>
        <w:t xml:space="preserve">It bears restating that a right of action is the right to presently enforce a cause of action, while a cause of action consists of the operative facts which give rise to such right of action. The right of action does not arise until the performance of all conditions precedent to the action and may be taken away by the running of the statute of limitations, through estoppel, or by other circumstances which do not affect the cause of action. Performance or </w:t>
      </w:r>
      <w:proofErr w:type="spellStart"/>
      <w:r w:rsidRPr="00064896">
        <w:rPr>
          <w:rFonts w:eastAsia="Times New Roman" w:cstheme="minorHAnsi"/>
          <w:color w:val="000000"/>
          <w:lang w:eastAsia="en-PH"/>
        </w:rPr>
        <w:t>fulfillment</w:t>
      </w:r>
      <w:proofErr w:type="spellEnd"/>
      <w:r w:rsidRPr="00064896">
        <w:rPr>
          <w:rFonts w:eastAsia="Times New Roman" w:cstheme="minorHAnsi"/>
          <w:color w:val="000000"/>
          <w:lang w:eastAsia="en-PH"/>
        </w:rPr>
        <w:t xml:space="preserve"> of all conditions precedent upon which a right of action depends must be sufficiently alleged, considering that the burden of proof to show that a party has a right of action is upon the person initiating the suit.</w:t>
      </w:r>
    </w:p>
    <w:p w:rsidR="00064896" w:rsidRPr="00064896" w:rsidRDefault="00064896" w:rsidP="00064896">
      <w:pPr>
        <w:spacing w:after="240" w:line="240" w:lineRule="auto"/>
        <w:ind w:left="720"/>
        <w:rPr>
          <w:rFonts w:eastAsia="Times New Roman" w:cstheme="minorHAnsi"/>
          <w:color w:val="000000"/>
          <w:lang w:eastAsia="en-PH"/>
        </w:rPr>
      </w:pPr>
      <w:r w:rsidRPr="00064896">
        <w:rPr>
          <w:rFonts w:eastAsia="Times New Roman" w:cstheme="minorHAnsi"/>
          <w:color w:val="000000"/>
          <w:lang w:eastAsia="en-PH"/>
        </w:rPr>
        <w:lastRenderedPageBreak/>
        <w:br/>
        <w:t>The Turners' right of action arose only when petitioner had already retained earnings in the amount of P11</w:t>
      </w:r>
      <w:proofErr w:type="gramStart"/>
      <w:r w:rsidRPr="00064896">
        <w:rPr>
          <w:rFonts w:eastAsia="Times New Roman" w:cstheme="minorHAnsi"/>
          <w:color w:val="000000"/>
          <w:lang w:eastAsia="en-PH"/>
        </w:rPr>
        <w:t>,975,490.00</w:t>
      </w:r>
      <w:proofErr w:type="gramEnd"/>
      <w:r w:rsidRPr="00064896">
        <w:rPr>
          <w:rFonts w:eastAsia="Times New Roman" w:cstheme="minorHAnsi"/>
          <w:color w:val="000000"/>
          <w:lang w:eastAsia="en-PH"/>
        </w:rPr>
        <w:t xml:space="preserve"> on March 21, 2002; such right of action was inexistent on January 22, 2001 when they filed the Complaint.</w:t>
      </w:r>
      <w:r w:rsidRPr="00064896">
        <w:rPr>
          <w:rFonts w:eastAsia="Times New Roman" w:cstheme="minorHAnsi"/>
          <w:color w:val="000000"/>
          <w:lang w:eastAsia="en-PH"/>
        </w:rPr>
        <w:br/>
      </w:r>
      <w:r w:rsidRPr="00064896">
        <w:rPr>
          <w:rFonts w:eastAsia="Times New Roman" w:cstheme="minorHAnsi"/>
          <w:color w:val="000000"/>
          <w:lang w:eastAsia="en-PH"/>
        </w:rPr>
        <w:br/>
        <w:t xml:space="preserve">In the doctrinal case of </w:t>
      </w:r>
      <w:proofErr w:type="spellStart"/>
      <w:r w:rsidRPr="00064896">
        <w:rPr>
          <w:rFonts w:eastAsia="Times New Roman" w:cstheme="minorHAnsi"/>
          <w:color w:val="000000"/>
          <w:lang w:eastAsia="en-PH"/>
        </w:rPr>
        <w:t>Surigao</w:t>
      </w:r>
      <w:proofErr w:type="spellEnd"/>
      <w:r w:rsidRPr="00064896">
        <w:rPr>
          <w:rFonts w:eastAsia="Times New Roman" w:cstheme="minorHAnsi"/>
          <w:color w:val="000000"/>
          <w:lang w:eastAsia="en-PH"/>
        </w:rPr>
        <w:t xml:space="preserve"> Mine Exploration Co. Inc., vs. Harris, the Supreme Court ruled:</w:t>
      </w:r>
    </w:p>
    <w:p w:rsidR="00064896" w:rsidRPr="00064896" w:rsidRDefault="00064896" w:rsidP="00064896">
      <w:pPr>
        <w:spacing w:after="0" w:line="240" w:lineRule="auto"/>
        <w:ind w:left="1440"/>
        <w:rPr>
          <w:rFonts w:eastAsia="Times New Roman" w:cstheme="minorHAnsi"/>
          <w:color w:val="000000"/>
          <w:lang w:eastAsia="en-PH"/>
        </w:rPr>
      </w:pPr>
      <w:r w:rsidRPr="00064896">
        <w:rPr>
          <w:rFonts w:eastAsia="Times New Roman" w:cstheme="minorHAnsi"/>
          <w:color w:val="000000"/>
          <w:lang w:eastAsia="en-PH"/>
        </w:rPr>
        <w:t>Subject to certain qualifications, and except as otherwise provided by law, an action commenced before the cause of action has accrued is prematurely brought and should be dismissed. The fact that the cause of action accrues after the action is commenced and while it is pending is of no moment. It is a rule of law to which there is, perhaps, no exception, either at law or in equity, that to recover at all there must be some cause of action at the commencement of the suit. There are reasons of public policy why there should be no needless haste in bringing up litigation, and why people who are in no default and against whom there is as yet no cause of action should not be summoned before the public tribunals to answer complaints which are groundless. An action prematurely brought is a groundless suit. Unless the plaintiff has a valid and subsisting cause of action at the time his action is commenced, the defect cannot be cured or remedied by the acquisition or accrual of one while the action is pending, and a supplemental complaint or an amendment setting up such after-accrued cause of action is not permissible.</w:t>
      </w:r>
    </w:p>
    <w:p w:rsidR="00064896" w:rsidRPr="00064896" w:rsidRDefault="00064896" w:rsidP="00064896">
      <w:pPr>
        <w:spacing w:after="0" w:line="240" w:lineRule="auto"/>
        <w:ind w:left="720"/>
        <w:rPr>
          <w:rFonts w:ascii="Verdana" w:eastAsia="Times New Roman" w:hAnsi="Verdana" w:cs="Times New Roman"/>
          <w:color w:val="000000"/>
          <w:lang w:eastAsia="en-PH"/>
        </w:rPr>
      </w:pPr>
      <w:r w:rsidRPr="00064896">
        <w:rPr>
          <w:rFonts w:eastAsia="Times New Roman" w:cstheme="minorHAnsi"/>
          <w:color w:val="000000"/>
          <w:lang w:eastAsia="en-PH"/>
        </w:rPr>
        <w:br/>
        <w:t xml:space="preserve">The afore-quoted ruling was reiterated in Young </w:t>
      </w:r>
      <w:proofErr w:type="spellStart"/>
      <w:r w:rsidRPr="00064896">
        <w:rPr>
          <w:rFonts w:eastAsia="Times New Roman" w:cstheme="minorHAnsi"/>
          <w:color w:val="000000"/>
          <w:lang w:eastAsia="en-PH"/>
        </w:rPr>
        <w:t>vs</w:t>
      </w:r>
      <w:proofErr w:type="spellEnd"/>
      <w:r w:rsidRPr="00064896">
        <w:rPr>
          <w:rFonts w:eastAsia="Times New Roman" w:cstheme="minorHAnsi"/>
          <w:color w:val="000000"/>
          <w:lang w:eastAsia="en-PH"/>
        </w:rPr>
        <w:t xml:space="preserve"> Court of Appeals and Lao vs. Court of Appeals.</w:t>
      </w:r>
      <w:r w:rsidRPr="00064896">
        <w:rPr>
          <w:rFonts w:eastAsia="Times New Roman" w:cstheme="minorHAnsi"/>
          <w:color w:val="000000"/>
          <w:lang w:eastAsia="en-PH"/>
        </w:rPr>
        <w:br/>
      </w:r>
      <w:r w:rsidRPr="00064896">
        <w:rPr>
          <w:rFonts w:eastAsia="Times New Roman" w:cstheme="minorHAnsi"/>
          <w:color w:val="000000"/>
          <w:lang w:eastAsia="en-PH"/>
        </w:rPr>
        <w:br/>
        <w:t>The Turners' apprehension that their claim for payment may prescribe if they wait for the petitioner to have unrestricted retained earnings is misplaced. It is the legal possibility of bringing the action that determines the starting point for the computation of the period of prescription. Stated otherwise, the prescriptive period is to be reckoned from the accrual of their right of action.</w:t>
      </w:r>
      <w:r w:rsidRPr="00064896">
        <w:rPr>
          <w:rFonts w:eastAsia="Times New Roman" w:cstheme="minorHAnsi"/>
          <w:color w:val="000000"/>
          <w:lang w:eastAsia="en-PH"/>
        </w:rPr>
        <w:br/>
      </w:r>
      <w:r w:rsidRPr="00064896">
        <w:rPr>
          <w:rFonts w:eastAsia="Times New Roman" w:cstheme="minorHAnsi"/>
          <w:color w:val="000000"/>
          <w:lang w:eastAsia="en-PH"/>
        </w:rPr>
        <w:br/>
        <w:t xml:space="preserve">Accordingly, </w:t>
      </w:r>
      <w:proofErr w:type="gramStart"/>
      <w:r w:rsidRPr="00064896">
        <w:rPr>
          <w:rFonts w:eastAsia="Times New Roman" w:cstheme="minorHAnsi"/>
          <w:color w:val="000000"/>
          <w:lang w:eastAsia="en-PH"/>
        </w:rPr>
        <w:t>We</w:t>
      </w:r>
      <w:proofErr w:type="gramEnd"/>
      <w:r w:rsidRPr="00064896">
        <w:rPr>
          <w:rFonts w:eastAsia="Times New Roman" w:cstheme="minorHAnsi"/>
          <w:color w:val="000000"/>
          <w:lang w:eastAsia="en-PH"/>
        </w:rPr>
        <w:t xml:space="preserve"> hold that public respondent exceeded its jurisdiction when it entertained the herein Complaint and issued the assailed Orders. Excess of jurisdiction is the state of being beyond or outside the limits of jurisdiction, and as distinguished from the entire absence of jurisdiction, means that the act although within the general power of the judge, is not authorized and therefore void, with respect to the particular case, because the conditions which authorize the exercise of his general power in that particular case are wanting, and hence, the judicial power is not in fact lawfully invoked.</w:t>
      </w:r>
      <w:r w:rsidRPr="00064896">
        <w:rPr>
          <w:rFonts w:eastAsia="Times New Roman" w:cstheme="minorHAnsi"/>
          <w:color w:val="000000"/>
          <w:lang w:eastAsia="en-PH"/>
        </w:rPr>
        <w:br/>
      </w:r>
      <w:r w:rsidRPr="00064896">
        <w:rPr>
          <w:rFonts w:eastAsia="Times New Roman" w:cstheme="minorHAnsi"/>
          <w:color w:val="000000"/>
          <w:lang w:eastAsia="en-PH"/>
        </w:rPr>
        <w:br/>
        <w:t>We find no necessity to discuss the second ground raised in this petition.</w:t>
      </w:r>
      <w:r w:rsidRPr="00064896">
        <w:rPr>
          <w:rFonts w:eastAsia="Times New Roman" w:cstheme="minorHAnsi"/>
          <w:color w:val="000000"/>
          <w:lang w:eastAsia="en-PH"/>
        </w:rPr>
        <w:br/>
      </w:r>
      <w:r w:rsidRPr="00064896">
        <w:rPr>
          <w:rFonts w:eastAsia="Times New Roman" w:cstheme="minorHAnsi"/>
          <w:color w:val="000000"/>
          <w:lang w:eastAsia="en-PH"/>
        </w:rPr>
        <w:br/>
        <w:t xml:space="preserve">WHEREFORE, upon the premises, the petition is GRANTED. The assailed Orders and the corresponding Writs of Garnishment are NULLIFIED. Civil Case No. 02-104692 is hereby ordered DISMISSED without prejudice to </w:t>
      </w:r>
      <w:proofErr w:type="spellStart"/>
      <w:r w:rsidRPr="00064896">
        <w:rPr>
          <w:rFonts w:eastAsia="Times New Roman" w:cstheme="minorHAnsi"/>
          <w:color w:val="000000"/>
          <w:lang w:eastAsia="en-PH"/>
        </w:rPr>
        <w:t>refiling</w:t>
      </w:r>
      <w:proofErr w:type="spellEnd"/>
      <w:r w:rsidRPr="00064896">
        <w:rPr>
          <w:rFonts w:eastAsia="Times New Roman" w:cstheme="minorHAnsi"/>
          <w:color w:val="000000"/>
          <w:lang w:eastAsia="en-PH"/>
        </w:rPr>
        <w:t xml:space="preserve"> by the private respondents of the action for enforcement of their right to payment as withdrawing stockholders.</w:t>
      </w:r>
      <w:r w:rsidRPr="00064896">
        <w:rPr>
          <w:rFonts w:eastAsia="Times New Roman" w:cstheme="minorHAnsi"/>
          <w:color w:val="000000"/>
          <w:lang w:eastAsia="en-PH"/>
        </w:rPr>
        <w:br/>
      </w:r>
      <w:r w:rsidRPr="00064896">
        <w:rPr>
          <w:rFonts w:eastAsia="Times New Roman" w:cstheme="minorHAnsi"/>
          <w:color w:val="000000"/>
          <w:lang w:eastAsia="en-PH"/>
        </w:rPr>
        <w:br/>
      </w:r>
      <w:proofErr w:type="gramStart"/>
      <w:r w:rsidRPr="00064896">
        <w:rPr>
          <w:rFonts w:eastAsia="Times New Roman" w:cstheme="minorHAnsi"/>
          <w:color w:val="000000"/>
          <w:lang w:eastAsia="en-PH"/>
        </w:rPr>
        <w:t>SO ORDERED.</w:t>
      </w:r>
      <w:proofErr w:type="gramEnd"/>
    </w:p>
    <w:p w:rsidR="00064896" w:rsidRPr="00064896" w:rsidRDefault="00064896" w:rsidP="00064896">
      <w:pPr>
        <w:spacing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br/>
        <w:t>The petitioners now come to the Court for a review on </w:t>
      </w:r>
      <w:r w:rsidRPr="00064896">
        <w:rPr>
          <w:rFonts w:ascii="Verdana" w:eastAsia="Times New Roman" w:hAnsi="Verdana" w:cs="Times New Roman"/>
          <w:i/>
          <w:iCs/>
          <w:color w:val="000000"/>
          <w:lang w:eastAsia="en-PH"/>
        </w:rPr>
        <w:t>certiorari </w:t>
      </w:r>
      <w:r w:rsidRPr="00064896">
        <w:rPr>
          <w:rFonts w:ascii="Verdana" w:eastAsia="Times New Roman" w:hAnsi="Verdana" w:cs="Times New Roman"/>
          <w:color w:val="000000"/>
          <w:lang w:eastAsia="en-PH"/>
        </w:rPr>
        <w:t>of the CA's decision, submitting that:</w:t>
      </w:r>
    </w:p>
    <w:p w:rsidR="00064896" w:rsidRPr="00064896" w:rsidRDefault="00064896" w:rsidP="00064896">
      <w:pPr>
        <w:spacing w:after="0" w:line="240" w:lineRule="auto"/>
        <w:ind w:left="720"/>
        <w:jc w:val="center"/>
        <w:rPr>
          <w:rFonts w:ascii="Times New Roman" w:eastAsia="Times New Roman" w:hAnsi="Times New Roman" w:cs="Times New Roman"/>
          <w:color w:val="000000"/>
          <w:lang w:eastAsia="en-PH"/>
        </w:rPr>
      </w:pPr>
      <w:r w:rsidRPr="00064896">
        <w:rPr>
          <w:rFonts w:ascii="Times New Roman" w:eastAsia="Times New Roman" w:hAnsi="Times New Roman" w:cs="Times New Roman"/>
          <w:color w:val="000000"/>
          <w:lang w:eastAsia="en-PH"/>
        </w:rPr>
        <w:lastRenderedPageBreak/>
        <w:t>I.</w:t>
      </w:r>
    </w:p>
    <w:p w:rsidR="00064896" w:rsidRPr="00064896" w:rsidRDefault="00064896" w:rsidP="00064896">
      <w:pPr>
        <w:spacing w:after="240" w:line="240" w:lineRule="auto"/>
        <w:ind w:left="720"/>
        <w:rPr>
          <w:rFonts w:ascii="Times New Roman" w:eastAsia="Times New Roman" w:hAnsi="Times New Roman" w:cs="Times New Roman"/>
          <w:color w:val="000000"/>
          <w:lang w:eastAsia="en-PH"/>
        </w:rPr>
      </w:pPr>
      <w:r w:rsidRPr="00064896">
        <w:rPr>
          <w:rFonts w:ascii="Times New Roman" w:eastAsia="Times New Roman" w:hAnsi="Times New Roman" w:cs="Times New Roman"/>
          <w:color w:val="000000"/>
          <w:lang w:eastAsia="en-PH"/>
        </w:rPr>
        <w:br/>
        <w:t>THE COURT OF APPEALS COMMITTED SERIOUS ERRORS OF LAW WHEN IT GRANTED THE PETITION FOR CERTIORARI WHEN THE REGIONAL TRIAL COURT OF MANILA DID NOT ACT BEYOND ITS JURISDICTION AMOUNTING TO LACK OF JURISDICTION IN GRANTING THE MOTION FOR PARTIAL SUMMARY JUDGMENT AND IN GRANTING THE MOTION FOR IMMEDIATE EXECUTION OF JUDGMENT;</w:t>
      </w:r>
    </w:p>
    <w:p w:rsidR="00064896" w:rsidRPr="00064896" w:rsidRDefault="00064896" w:rsidP="00064896">
      <w:pPr>
        <w:spacing w:after="0" w:line="240" w:lineRule="auto"/>
        <w:ind w:left="720"/>
        <w:jc w:val="center"/>
        <w:rPr>
          <w:rFonts w:ascii="Times New Roman" w:eastAsia="Times New Roman" w:hAnsi="Times New Roman" w:cs="Times New Roman"/>
          <w:color w:val="000000"/>
          <w:lang w:eastAsia="en-PH"/>
        </w:rPr>
      </w:pPr>
      <w:proofErr w:type="gramStart"/>
      <w:r w:rsidRPr="00064896">
        <w:rPr>
          <w:rFonts w:ascii="Times New Roman" w:eastAsia="Times New Roman" w:hAnsi="Times New Roman" w:cs="Times New Roman"/>
          <w:color w:val="000000"/>
          <w:lang w:eastAsia="en-PH"/>
        </w:rPr>
        <w:t>II.</w:t>
      </w:r>
      <w:proofErr w:type="gramEnd"/>
    </w:p>
    <w:p w:rsidR="00064896" w:rsidRPr="00064896" w:rsidRDefault="00064896" w:rsidP="00064896">
      <w:pPr>
        <w:spacing w:after="240" w:line="240" w:lineRule="auto"/>
        <w:ind w:left="720"/>
        <w:rPr>
          <w:rFonts w:ascii="Times New Roman" w:eastAsia="Times New Roman" w:hAnsi="Times New Roman" w:cs="Times New Roman"/>
          <w:color w:val="000000"/>
          <w:lang w:eastAsia="en-PH"/>
        </w:rPr>
      </w:pPr>
      <w:r w:rsidRPr="00064896">
        <w:rPr>
          <w:rFonts w:ascii="Times New Roman" w:eastAsia="Times New Roman" w:hAnsi="Times New Roman" w:cs="Times New Roman"/>
          <w:color w:val="000000"/>
          <w:lang w:eastAsia="en-PH"/>
        </w:rPr>
        <w:br/>
        <w:t>THE COURT OF APPEALS COMMITTED SERIOUS ERRORS OF LAW WHEN IT ORDERED THE DISMISSAL OF THE CASE, WHEN THE PETITION FOR CERTIORARI MERELY SOUGHT THE ANNULMENT OF THE ORDER GRANTING THE MOTION FOR PARTIAL SUMMARY JUDGMENT AND OF THE ORDER GRANTING THE MOTION FOR IMMEDIATE EXECUTION OF THE JUDGMENT;</w:t>
      </w:r>
    </w:p>
    <w:p w:rsidR="00064896" w:rsidRPr="00064896" w:rsidRDefault="00064896" w:rsidP="00064896">
      <w:pPr>
        <w:spacing w:after="0" w:line="240" w:lineRule="auto"/>
        <w:ind w:left="720"/>
        <w:jc w:val="center"/>
        <w:rPr>
          <w:rFonts w:ascii="Times New Roman" w:eastAsia="Times New Roman" w:hAnsi="Times New Roman" w:cs="Times New Roman"/>
          <w:color w:val="000000"/>
          <w:lang w:eastAsia="en-PH"/>
        </w:rPr>
      </w:pPr>
      <w:proofErr w:type="gramStart"/>
      <w:r w:rsidRPr="00064896">
        <w:rPr>
          <w:rFonts w:ascii="Times New Roman" w:eastAsia="Times New Roman" w:hAnsi="Times New Roman" w:cs="Times New Roman"/>
          <w:color w:val="000000"/>
          <w:lang w:eastAsia="en-PH"/>
        </w:rPr>
        <w:t>III.</w:t>
      </w:r>
      <w:proofErr w:type="gramEnd"/>
    </w:p>
    <w:p w:rsidR="00064896" w:rsidRPr="00064896" w:rsidRDefault="00064896" w:rsidP="00064896">
      <w:pPr>
        <w:spacing w:after="0" w:line="240" w:lineRule="auto"/>
        <w:ind w:left="720"/>
        <w:rPr>
          <w:rFonts w:ascii="Times New Roman" w:eastAsia="Times New Roman" w:hAnsi="Times New Roman" w:cs="Times New Roman"/>
          <w:color w:val="000000"/>
          <w:lang w:eastAsia="en-PH"/>
        </w:rPr>
      </w:pPr>
      <w:r w:rsidRPr="00064896">
        <w:rPr>
          <w:rFonts w:ascii="Times New Roman" w:eastAsia="Times New Roman" w:hAnsi="Times New Roman" w:cs="Times New Roman"/>
          <w:color w:val="000000"/>
          <w:lang w:eastAsia="en-PH"/>
        </w:rPr>
        <w:br/>
        <w:t>THE HONORABLE COURT OF APPEALS HAS DECIDED QUESTIONS OF SUBSTANCE NOT THEREFORE DETERMINED BY THIS HONORABLE COURT AND/OR DECIDED IT IN A WAY NOT IN ACCORD WITH LAW OR WITH JURISPRUDENCE.</w:t>
      </w:r>
    </w:p>
    <w:p w:rsidR="00064896" w:rsidRPr="00064896" w:rsidRDefault="00064896" w:rsidP="00064896">
      <w:pPr>
        <w:spacing w:after="0" w:line="240" w:lineRule="auto"/>
        <w:rPr>
          <w:rFonts w:ascii="Times New Roman" w:eastAsia="Times New Roman" w:hAnsi="Times New Roman" w:cs="Times New Roman"/>
          <w:color w:val="000000"/>
          <w:lang w:eastAsia="en-PH"/>
        </w:rPr>
      </w:pPr>
    </w:p>
    <w:p w:rsidR="00064896" w:rsidRPr="00064896" w:rsidRDefault="00064896" w:rsidP="00064896">
      <w:pPr>
        <w:spacing w:after="0" w:line="240" w:lineRule="auto"/>
        <w:jc w:val="center"/>
        <w:rPr>
          <w:rFonts w:ascii="Verdana" w:eastAsia="Times New Roman" w:hAnsi="Verdana" w:cs="Times New Roman"/>
          <w:color w:val="000000"/>
          <w:lang w:eastAsia="en-PH"/>
        </w:rPr>
      </w:pPr>
      <w:r w:rsidRPr="00064896">
        <w:rPr>
          <w:rFonts w:ascii="Verdana" w:eastAsia="Times New Roman" w:hAnsi="Verdana" w:cs="Times New Roman"/>
          <w:b/>
          <w:bCs/>
          <w:color w:val="000000"/>
          <w:lang w:eastAsia="en-PH"/>
        </w:rPr>
        <w:t>Ruling</w:t>
      </w:r>
    </w:p>
    <w:p w:rsidR="00064896" w:rsidRPr="00064896" w:rsidRDefault="00064896" w:rsidP="00064896">
      <w:pPr>
        <w:spacing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br/>
        <w:t>The petition fails.</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The CA correctly concluded that the RTC had exceeded its jurisdiction in entertaining the petitioners' complaint in Civil Case No. 01-086, and in rendering the summary judgment and issuing writ of execution.</w:t>
      </w:r>
    </w:p>
    <w:p w:rsidR="00064896" w:rsidRPr="00064896" w:rsidRDefault="00064896" w:rsidP="00064896">
      <w:pPr>
        <w:spacing w:after="0" w:line="240" w:lineRule="auto"/>
        <w:jc w:val="center"/>
        <w:rPr>
          <w:rFonts w:ascii="Verdana" w:eastAsia="Times New Roman" w:hAnsi="Verdana" w:cs="Times New Roman"/>
          <w:color w:val="000000"/>
          <w:lang w:eastAsia="en-PH"/>
        </w:rPr>
      </w:pPr>
      <w:proofErr w:type="gramStart"/>
      <w:r w:rsidRPr="00064896">
        <w:rPr>
          <w:rFonts w:ascii="Verdana" w:eastAsia="Times New Roman" w:hAnsi="Verdana" w:cs="Times New Roman"/>
          <w:b/>
          <w:bCs/>
          <w:color w:val="000000"/>
          <w:lang w:eastAsia="en-PH"/>
        </w:rPr>
        <w:t>A.</w:t>
      </w:r>
      <w:proofErr w:type="gramEnd"/>
      <w:r w:rsidRPr="00064896">
        <w:rPr>
          <w:rFonts w:ascii="Verdana" w:eastAsia="Times New Roman" w:hAnsi="Verdana" w:cs="Times New Roman"/>
          <w:color w:val="000000"/>
          <w:lang w:eastAsia="en-PH"/>
        </w:rPr>
        <w:br/>
      </w:r>
      <w:r w:rsidRPr="00064896">
        <w:rPr>
          <w:rFonts w:ascii="Verdana" w:eastAsia="Times New Roman" w:hAnsi="Verdana" w:cs="Times New Roman"/>
          <w:b/>
          <w:bCs/>
          <w:color w:val="000000"/>
          <w:lang w:eastAsia="en-PH"/>
        </w:rPr>
        <w:t>Stockholder's Right of Appraisal, In General</w:t>
      </w:r>
    </w:p>
    <w:p w:rsidR="00064896" w:rsidRPr="00064896" w:rsidRDefault="00064896" w:rsidP="00064896">
      <w:pPr>
        <w:spacing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highlight w:val="yellow"/>
          <w:lang w:eastAsia="en-PH"/>
        </w:rPr>
        <w:t>A stockholder who dissents from certain corporate actions has the right to demand payment of the fair value of his or her shares. This right, known as the right of appraisal, is expressly recognized in Section 81 of the </w:t>
      </w:r>
      <w:r w:rsidRPr="00064896">
        <w:rPr>
          <w:rFonts w:ascii="Verdana" w:eastAsia="Times New Roman" w:hAnsi="Verdana" w:cs="Times New Roman"/>
          <w:i/>
          <w:iCs/>
          <w:color w:val="000000"/>
          <w:highlight w:val="yellow"/>
          <w:lang w:eastAsia="en-PH"/>
        </w:rPr>
        <w:t>Corporation Code</w:t>
      </w:r>
      <w:r w:rsidRPr="00064896">
        <w:rPr>
          <w:rFonts w:ascii="Verdana" w:eastAsia="Times New Roman" w:hAnsi="Verdana" w:cs="Times New Roman"/>
          <w:color w:val="000000"/>
          <w:lang w:eastAsia="en-PH"/>
        </w:rPr>
        <w:t>, to wit:</w:t>
      </w:r>
    </w:p>
    <w:p w:rsidR="00064896" w:rsidRPr="00064896" w:rsidRDefault="00064896" w:rsidP="009079D7">
      <w:pPr>
        <w:spacing w:after="0" w:line="240" w:lineRule="auto"/>
        <w:ind w:left="720"/>
        <w:rPr>
          <w:rFonts w:asciiTheme="majorHAnsi" w:eastAsia="Times New Roman" w:hAnsiTheme="majorHAnsi" w:cs="Times New Roman"/>
          <w:color w:val="000000"/>
          <w:lang w:eastAsia="en-PH"/>
        </w:rPr>
      </w:pPr>
      <w:proofErr w:type="gramStart"/>
      <w:r w:rsidRPr="00064896">
        <w:rPr>
          <w:rFonts w:asciiTheme="majorHAnsi" w:eastAsia="Times New Roman" w:hAnsiTheme="majorHAnsi" w:cs="Times New Roman"/>
          <w:color w:val="000000"/>
          <w:lang w:eastAsia="en-PH"/>
        </w:rPr>
        <w:t>Section 81.</w:t>
      </w:r>
      <w:proofErr w:type="gramEnd"/>
      <w:r w:rsidRPr="00064896">
        <w:rPr>
          <w:rFonts w:asciiTheme="majorHAnsi" w:eastAsia="Times New Roman" w:hAnsiTheme="majorHAnsi" w:cs="Times New Roman"/>
          <w:color w:val="000000"/>
          <w:lang w:eastAsia="en-PH"/>
        </w:rPr>
        <w:t> </w:t>
      </w:r>
      <w:proofErr w:type="gramStart"/>
      <w:r w:rsidRPr="00064896">
        <w:rPr>
          <w:rFonts w:asciiTheme="majorHAnsi" w:eastAsia="Times New Roman" w:hAnsiTheme="majorHAnsi" w:cs="Times New Roman"/>
          <w:i/>
          <w:iCs/>
          <w:color w:val="000000"/>
          <w:lang w:eastAsia="en-PH"/>
        </w:rPr>
        <w:t>Instances of appraisal right.</w:t>
      </w:r>
      <w:proofErr w:type="gramEnd"/>
      <w:r w:rsidRPr="00064896">
        <w:rPr>
          <w:rFonts w:asciiTheme="majorHAnsi" w:eastAsia="Times New Roman" w:hAnsiTheme="majorHAnsi" w:cs="Times New Roman"/>
          <w:color w:val="000000"/>
          <w:lang w:eastAsia="en-PH"/>
        </w:rPr>
        <w:t> - Any stockholder of a corporation shall have the right to dissent and demand payment of the fair value of his shares in the following instances:</w:t>
      </w:r>
      <w:r w:rsidRPr="00064896">
        <w:rPr>
          <w:rFonts w:asciiTheme="majorHAnsi" w:eastAsia="Times New Roman" w:hAnsiTheme="majorHAnsi" w:cs="Times New Roman"/>
          <w:color w:val="000000"/>
          <w:lang w:eastAsia="en-PH"/>
        </w:rPr>
        <w:br/>
      </w:r>
      <w:r w:rsidRPr="00064896">
        <w:rPr>
          <w:rFonts w:asciiTheme="majorHAnsi" w:eastAsia="Times New Roman" w:hAnsiTheme="majorHAnsi" w:cs="Times New Roman"/>
          <w:color w:val="000000"/>
          <w:lang w:eastAsia="en-PH"/>
        </w:rPr>
        <w:br/>
        <w:t>1. In case any amendment to the articles of incorporation has the effect of changing or restricting the rights of any stockholder or class of shares, or of authorizing preferences in any respect superior to those of outstanding shares of any class, or of extending or shortening the term of corporate existence;</w:t>
      </w:r>
      <w:r w:rsidRPr="00064896">
        <w:rPr>
          <w:rFonts w:asciiTheme="majorHAnsi" w:eastAsia="Times New Roman" w:hAnsiTheme="majorHAnsi" w:cs="Times New Roman"/>
          <w:color w:val="000000"/>
          <w:lang w:eastAsia="en-PH"/>
        </w:rPr>
        <w:br/>
      </w:r>
      <w:r w:rsidRPr="00064896">
        <w:rPr>
          <w:rFonts w:asciiTheme="majorHAnsi" w:eastAsia="Times New Roman" w:hAnsiTheme="majorHAnsi" w:cs="Times New Roman"/>
          <w:color w:val="000000"/>
          <w:lang w:eastAsia="en-PH"/>
        </w:rPr>
        <w:br/>
        <w:t>2. In case of sale, lease, exchange, transfer, mortgage, pledge or other disposition of all or substantially all of the corporate property and assets as provided in the Code; and</w:t>
      </w:r>
      <w:r w:rsidRPr="00064896">
        <w:rPr>
          <w:rFonts w:asciiTheme="majorHAnsi" w:eastAsia="Times New Roman" w:hAnsiTheme="majorHAnsi" w:cs="Times New Roman"/>
          <w:color w:val="000000"/>
          <w:lang w:eastAsia="en-PH"/>
        </w:rPr>
        <w:br/>
      </w:r>
      <w:r w:rsidRPr="00064896">
        <w:rPr>
          <w:rFonts w:asciiTheme="majorHAnsi" w:eastAsia="Times New Roman" w:hAnsiTheme="majorHAnsi" w:cs="Times New Roman"/>
          <w:color w:val="000000"/>
          <w:lang w:eastAsia="en-PH"/>
        </w:rPr>
        <w:br/>
        <w:t>3. In case of merger or consolidation. (n)</w:t>
      </w:r>
    </w:p>
    <w:p w:rsidR="00064896" w:rsidRPr="00064896" w:rsidRDefault="00064896" w:rsidP="00064896">
      <w:pPr>
        <w:spacing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lastRenderedPageBreak/>
        <w:br/>
        <w:t>Clearly</w:t>
      </w:r>
      <w:r w:rsidRPr="00064896">
        <w:rPr>
          <w:rFonts w:ascii="Verdana" w:eastAsia="Times New Roman" w:hAnsi="Verdana" w:cs="Times New Roman"/>
          <w:color w:val="000000"/>
          <w:highlight w:val="yellow"/>
          <w:lang w:eastAsia="en-PH"/>
        </w:rPr>
        <w:t>, the right of appraisal may be exercised when there is a fundamental change in the charter or articles of incorporation substantially prejudicing the rights of the stockholders. It does not vest unless objectionable corporate action is taken.</w:t>
      </w:r>
      <w:r w:rsidR="009079D7" w:rsidRPr="00C17E20">
        <w:rPr>
          <w:rFonts w:ascii="Verdana" w:eastAsia="Times New Roman" w:hAnsi="Verdana" w:cs="Times New Roman"/>
          <w:color w:val="FF0000"/>
          <w:highlight w:val="yellow"/>
          <w:vertAlign w:val="superscript"/>
          <w:lang w:eastAsia="en-PH"/>
        </w:rPr>
        <w:t xml:space="preserve"> </w:t>
      </w:r>
      <w:r w:rsidR="009079D7" w:rsidRPr="00064896">
        <w:rPr>
          <w:rFonts w:ascii="Verdana" w:eastAsia="Times New Roman" w:hAnsi="Verdana" w:cs="Times New Roman"/>
          <w:color w:val="FF0000"/>
          <w:highlight w:val="yellow"/>
          <w:vertAlign w:val="superscript"/>
          <w:lang w:eastAsia="en-PH"/>
        </w:rPr>
        <w:t>[</w:t>
      </w:r>
      <w:r w:rsidR="009079D7" w:rsidRPr="00C17E20">
        <w:rPr>
          <w:rStyle w:val="FootnoteReference"/>
          <w:rFonts w:ascii="Verdana" w:eastAsia="Times New Roman" w:hAnsi="Verdana" w:cs="Times New Roman"/>
          <w:color w:val="FF0000"/>
          <w:highlight w:val="yellow"/>
          <w:lang w:eastAsia="en-PH"/>
        </w:rPr>
        <w:footnoteReference w:id="13"/>
      </w:r>
      <w:r w:rsidR="009079D7" w:rsidRPr="00064896">
        <w:rPr>
          <w:rFonts w:ascii="Verdana" w:eastAsia="Times New Roman" w:hAnsi="Verdana" w:cs="Times New Roman"/>
          <w:color w:val="FF0000"/>
          <w:highlight w:val="yellow"/>
          <w:vertAlign w:val="superscript"/>
          <w:lang w:eastAsia="en-PH"/>
        </w:rPr>
        <w:t>]</w:t>
      </w:r>
      <w:r w:rsidRPr="00064896">
        <w:rPr>
          <w:rFonts w:ascii="Verdana" w:eastAsia="Times New Roman" w:hAnsi="Verdana" w:cs="Times New Roman"/>
          <w:color w:val="000000"/>
          <w:highlight w:val="yellow"/>
          <w:lang w:eastAsia="en-PH"/>
        </w:rPr>
        <w:t> It serves the purpose of enabling the dissenting stockholder to have his interests purchased and to retire from the corporation.</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14"/>
      </w:r>
      <w:proofErr w:type="gramStart"/>
      <w:r w:rsidR="009079D7" w:rsidRPr="00064896">
        <w:rPr>
          <w:rFonts w:ascii="Verdana" w:eastAsia="Times New Roman" w:hAnsi="Verdana" w:cs="Times New Roman"/>
          <w:color w:val="FF0000"/>
          <w:vertAlign w:val="superscript"/>
          <w:lang w:eastAsia="en-PH"/>
        </w:rPr>
        <w:t>]</w:t>
      </w:r>
      <w:proofErr w:type="gramEnd"/>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Under the common law, there were originally conflicting views on whether a corporation had the power to acquire or purchase its own stocks. In England, it was held invalid for a corporation to purchase its issued stocks because such purchase was an indirect method of reducing capital (which was statutorily restricted), aside from being inconsistent with the privilege of limited liability to creditors.</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15"/>
      </w:r>
      <w:r w:rsidR="009079D7" w:rsidRPr="00064896">
        <w:rPr>
          <w:rFonts w:ascii="Verdana" w:eastAsia="Times New Roman" w:hAnsi="Verdana" w:cs="Times New Roman"/>
          <w:color w:val="FF0000"/>
          <w:vertAlign w:val="superscript"/>
          <w:lang w:eastAsia="en-PH"/>
        </w:rPr>
        <w:t>]</w:t>
      </w:r>
      <w:r w:rsidRPr="00064896">
        <w:rPr>
          <w:rFonts w:ascii="Verdana" w:eastAsia="Times New Roman" w:hAnsi="Verdana" w:cs="Times New Roman"/>
          <w:color w:val="000000"/>
          <w:lang w:eastAsia="en-PH"/>
        </w:rPr>
        <w:t> Only a few American jurisdictions adopted by decision or statute the strict English rule forbidding a corporation from purchasing its own shares. In some American states where the English rule used to be adopted, statutes granting authority to purchase out of surplus funds were enacted, while in others, shares might be purchased even out of capital provided the rights of creditors were not prejudiced.</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16"/>
      </w:r>
      <w:r w:rsidR="009079D7" w:rsidRPr="00064896">
        <w:rPr>
          <w:rFonts w:ascii="Verdana" w:eastAsia="Times New Roman" w:hAnsi="Verdana" w:cs="Times New Roman"/>
          <w:color w:val="FF0000"/>
          <w:vertAlign w:val="superscript"/>
          <w:lang w:eastAsia="en-PH"/>
        </w:rPr>
        <w:t>]</w:t>
      </w:r>
      <w:r w:rsidRPr="00064896">
        <w:rPr>
          <w:rFonts w:ascii="Verdana" w:eastAsia="Times New Roman" w:hAnsi="Verdana" w:cs="Times New Roman"/>
          <w:color w:val="000000"/>
          <w:lang w:eastAsia="en-PH"/>
        </w:rPr>
        <w:t> The reason underlying the limitation of share purchases sprang from the necessity of imposing safeguards against the depletion by a corporation of its assets and against the impairment of its capital needed for the protection of creditors.</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17"/>
      </w:r>
      <w:proofErr w:type="gramStart"/>
      <w:r w:rsidR="009079D7" w:rsidRPr="00064896">
        <w:rPr>
          <w:rFonts w:ascii="Verdana" w:eastAsia="Times New Roman" w:hAnsi="Verdana" w:cs="Times New Roman"/>
          <w:color w:val="FF0000"/>
          <w:vertAlign w:val="superscript"/>
          <w:lang w:eastAsia="en-PH"/>
        </w:rPr>
        <w:t>]</w:t>
      </w:r>
      <w:proofErr w:type="gramEnd"/>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highlight w:val="yellow"/>
          <w:lang w:eastAsia="en-PH"/>
        </w:rPr>
        <w:t>Now, however, a corporation can purchase its own shares, provided payment is made out of surplus profits and the acquisition is for a legitimate corporate purpose.</w:t>
      </w:r>
      <w:r w:rsidR="009079D7" w:rsidRPr="007C54B3">
        <w:rPr>
          <w:rFonts w:ascii="Verdana" w:eastAsia="Times New Roman" w:hAnsi="Verdana" w:cs="Times New Roman"/>
          <w:color w:val="FF0000"/>
          <w:highlight w:val="yellow"/>
          <w:vertAlign w:val="superscript"/>
          <w:lang w:eastAsia="en-PH"/>
        </w:rPr>
        <w:t xml:space="preserve"> </w:t>
      </w:r>
      <w:r w:rsidR="009079D7" w:rsidRPr="00064896">
        <w:rPr>
          <w:rFonts w:ascii="Verdana" w:eastAsia="Times New Roman" w:hAnsi="Verdana" w:cs="Times New Roman"/>
          <w:color w:val="FF0000"/>
          <w:highlight w:val="yellow"/>
          <w:vertAlign w:val="superscript"/>
          <w:lang w:eastAsia="en-PH"/>
        </w:rPr>
        <w:t>[</w:t>
      </w:r>
      <w:r w:rsidR="009079D7" w:rsidRPr="007C54B3">
        <w:rPr>
          <w:rStyle w:val="FootnoteReference"/>
          <w:rFonts w:ascii="Verdana" w:eastAsia="Times New Roman" w:hAnsi="Verdana" w:cs="Times New Roman"/>
          <w:color w:val="FF0000"/>
          <w:highlight w:val="yellow"/>
          <w:lang w:eastAsia="en-PH"/>
        </w:rPr>
        <w:footnoteReference w:id="18"/>
      </w:r>
      <w:r w:rsidR="009079D7" w:rsidRPr="00064896">
        <w:rPr>
          <w:rFonts w:ascii="Verdana" w:eastAsia="Times New Roman" w:hAnsi="Verdana" w:cs="Times New Roman"/>
          <w:color w:val="FF0000"/>
          <w:highlight w:val="yellow"/>
          <w:vertAlign w:val="superscript"/>
          <w:lang w:eastAsia="en-PH"/>
        </w:rPr>
        <w:t>]</w:t>
      </w:r>
      <w:r w:rsidRPr="00064896">
        <w:rPr>
          <w:rFonts w:ascii="Verdana" w:eastAsia="Times New Roman" w:hAnsi="Verdana" w:cs="Times New Roman"/>
          <w:color w:val="000000"/>
          <w:highlight w:val="yellow"/>
          <w:lang w:eastAsia="en-PH"/>
        </w:rPr>
        <w:t> In the Philippines, this new rule is embodied in Section 41 of the </w:t>
      </w:r>
      <w:r w:rsidRPr="00064896">
        <w:rPr>
          <w:rFonts w:ascii="Verdana" w:eastAsia="Times New Roman" w:hAnsi="Verdana" w:cs="Times New Roman"/>
          <w:i/>
          <w:iCs/>
          <w:color w:val="000000"/>
          <w:highlight w:val="yellow"/>
          <w:lang w:eastAsia="en-PH"/>
        </w:rPr>
        <w:t>Corporation Code</w:t>
      </w:r>
      <w:r w:rsidRPr="00064896">
        <w:rPr>
          <w:rFonts w:ascii="Verdana" w:eastAsia="Times New Roman" w:hAnsi="Verdana" w:cs="Times New Roman"/>
          <w:color w:val="000000"/>
          <w:lang w:eastAsia="en-PH"/>
        </w:rPr>
        <w:t>, to wit:</w:t>
      </w:r>
    </w:p>
    <w:p w:rsidR="00064896" w:rsidRPr="00064896" w:rsidRDefault="00064896" w:rsidP="009079D7">
      <w:pPr>
        <w:spacing w:after="0" w:line="240" w:lineRule="auto"/>
        <w:ind w:left="720"/>
        <w:rPr>
          <w:rFonts w:asciiTheme="majorHAnsi" w:eastAsia="Times New Roman" w:hAnsiTheme="majorHAnsi" w:cs="Times New Roman"/>
          <w:color w:val="000000"/>
          <w:lang w:eastAsia="en-PH"/>
        </w:rPr>
      </w:pPr>
      <w:proofErr w:type="gramStart"/>
      <w:r w:rsidRPr="00064896">
        <w:rPr>
          <w:rFonts w:asciiTheme="majorHAnsi" w:eastAsia="Times New Roman" w:hAnsiTheme="majorHAnsi" w:cs="Times New Roman"/>
          <w:color w:val="000000"/>
          <w:lang w:eastAsia="en-PH"/>
        </w:rPr>
        <w:t>Section 41.</w:t>
      </w:r>
      <w:proofErr w:type="gramEnd"/>
      <w:r w:rsidRPr="00064896">
        <w:rPr>
          <w:rFonts w:asciiTheme="majorHAnsi" w:eastAsia="Times New Roman" w:hAnsiTheme="majorHAnsi" w:cs="Times New Roman"/>
          <w:color w:val="000000"/>
          <w:lang w:eastAsia="en-PH"/>
        </w:rPr>
        <w:t> </w:t>
      </w:r>
      <w:proofErr w:type="gramStart"/>
      <w:r w:rsidRPr="00064896">
        <w:rPr>
          <w:rFonts w:asciiTheme="majorHAnsi" w:eastAsia="Times New Roman" w:hAnsiTheme="majorHAnsi" w:cs="Times New Roman"/>
          <w:i/>
          <w:iCs/>
          <w:color w:val="000000"/>
          <w:lang w:eastAsia="en-PH"/>
        </w:rPr>
        <w:t>Power to acquire own shares.</w:t>
      </w:r>
      <w:proofErr w:type="gramEnd"/>
      <w:r w:rsidRPr="00064896">
        <w:rPr>
          <w:rFonts w:asciiTheme="majorHAnsi" w:eastAsia="Times New Roman" w:hAnsiTheme="majorHAnsi" w:cs="Times New Roman"/>
          <w:color w:val="000000"/>
          <w:lang w:eastAsia="en-PH"/>
        </w:rPr>
        <w:t> - A stock corporation shall have the power to purchase or acquire its own shares for a legitimate corporate purpose or purposes, including but not limited to the following cases: Provided, That the corporation has unrestricted retained earnings in its books to cover the shares to be purchased or acquired:</w:t>
      </w:r>
      <w:r w:rsidRPr="00064896">
        <w:rPr>
          <w:rFonts w:asciiTheme="majorHAnsi" w:eastAsia="Times New Roman" w:hAnsiTheme="majorHAnsi" w:cs="Times New Roman"/>
          <w:color w:val="000000"/>
          <w:lang w:eastAsia="en-PH"/>
        </w:rPr>
        <w:br/>
      </w:r>
      <w:r w:rsidRPr="00064896">
        <w:rPr>
          <w:rFonts w:asciiTheme="majorHAnsi" w:eastAsia="Times New Roman" w:hAnsiTheme="majorHAnsi" w:cs="Times New Roman"/>
          <w:color w:val="000000"/>
          <w:lang w:eastAsia="en-PH"/>
        </w:rPr>
        <w:br/>
        <w:t>1. To eliminate fractional shares arising out of stock dividends;</w:t>
      </w:r>
      <w:r w:rsidRPr="00064896">
        <w:rPr>
          <w:rFonts w:asciiTheme="majorHAnsi" w:eastAsia="Times New Roman" w:hAnsiTheme="majorHAnsi" w:cs="Times New Roman"/>
          <w:color w:val="000000"/>
          <w:lang w:eastAsia="en-PH"/>
        </w:rPr>
        <w:br/>
      </w:r>
      <w:r w:rsidRPr="00064896">
        <w:rPr>
          <w:rFonts w:asciiTheme="majorHAnsi" w:eastAsia="Times New Roman" w:hAnsiTheme="majorHAnsi" w:cs="Times New Roman"/>
          <w:color w:val="000000"/>
          <w:lang w:eastAsia="en-PH"/>
        </w:rPr>
        <w:br/>
        <w:t>2. To collect or compromise an indebtedness to the corporation, arising out of unpaid subscription, in a delinquency sale, and to purchase delinquent shares sold during said sale; and</w:t>
      </w:r>
      <w:r w:rsidRPr="00064896">
        <w:rPr>
          <w:rFonts w:asciiTheme="majorHAnsi" w:eastAsia="Times New Roman" w:hAnsiTheme="majorHAnsi" w:cs="Times New Roman"/>
          <w:color w:val="000000"/>
          <w:lang w:eastAsia="en-PH"/>
        </w:rPr>
        <w:br/>
      </w:r>
      <w:r w:rsidRPr="00064896">
        <w:rPr>
          <w:rFonts w:asciiTheme="majorHAnsi" w:eastAsia="Times New Roman" w:hAnsiTheme="majorHAnsi" w:cs="Times New Roman"/>
          <w:color w:val="000000"/>
          <w:lang w:eastAsia="en-PH"/>
        </w:rPr>
        <w:br/>
        <w:t>3. To pay dissenting or withdrawing stockholders entitled to payment for their shares under the provisions of this Code. (n)</w:t>
      </w:r>
    </w:p>
    <w:p w:rsidR="00064896" w:rsidRPr="00064896" w:rsidRDefault="00064896" w:rsidP="00064896">
      <w:pPr>
        <w:spacing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br/>
        <w:t>The </w:t>
      </w:r>
      <w:r w:rsidRPr="00064896">
        <w:rPr>
          <w:rFonts w:ascii="Verdana" w:eastAsia="Times New Roman" w:hAnsi="Verdana" w:cs="Times New Roman"/>
          <w:i/>
          <w:iCs/>
          <w:color w:val="000000"/>
          <w:lang w:eastAsia="en-PH"/>
        </w:rPr>
        <w:t>Corporation Code</w:t>
      </w:r>
      <w:r w:rsidRPr="00064896">
        <w:rPr>
          <w:rFonts w:ascii="Verdana" w:eastAsia="Times New Roman" w:hAnsi="Verdana" w:cs="Times New Roman"/>
          <w:color w:val="000000"/>
          <w:lang w:eastAsia="en-PH"/>
        </w:rPr>
        <w:t> defines how the right of appraisal is exercised, as well as the implications of the right of appraisal, as follows:</w:t>
      </w:r>
    </w:p>
    <w:p w:rsidR="00064896" w:rsidRPr="00064896" w:rsidRDefault="00064896" w:rsidP="00064896">
      <w:pPr>
        <w:numPr>
          <w:ilvl w:val="0"/>
          <w:numId w:val="1"/>
        </w:numPr>
        <w:spacing w:before="100" w:beforeAutospacing="1"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lastRenderedPageBreak/>
        <w:t>The appraisal right is exercised by any stockholder who has voted against the proposed corporate action by making a written demand on the corporation within 30 days after the date on which the vote was taken for the payment of the fair value of his shares. The failure to make the demand within the period is deemed a waiver of the appraisal right.</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19"/>
      </w:r>
      <w:r w:rsidR="009079D7" w:rsidRPr="00064896">
        <w:rPr>
          <w:rFonts w:ascii="Verdana" w:eastAsia="Times New Roman" w:hAnsi="Verdana" w:cs="Times New Roman"/>
          <w:color w:val="FF0000"/>
          <w:vertAlign w:val="superscript"/>
          <w:lang w:eastAsia="en-PH"/>
        </w:rPr>
        <w:t>]</w:t>
      </w:r>
    </w:p>
    <w:p w:rsidR="00064896" w:rsidRPr="00064896" w:rsidRDefault="00064896" w:rsidP="00064896">
      <w:pPr>
        <w:numPr>
          <w:ilvl w:val="0"/>
          <w:numId w:val="1"/>
        </w:numPr>
        <w:spacing w:before="100" w:beforeAutospacing="1"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t>If the withdrawing stockholder and the corporation cannot agree on the fair value of the shares within a period of 60 days from the date the stockholders approved the corporate action, the fair value shall be determined and appraised by three disinterested persons, one of whom shall be named by the stockholder, another by the corporation, and the third by the two thus chosen. The findings and award of the majority of the appraisers shall be final, and the corporation shall pay their award within 30 days after the award is made. Upon payment by the corporation of the agreed or awarded price, the stockholder shall forthwith transfer his or her shares to the corporation.</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20"/>
      </w:r>
      <w:r w:rsidR="009079D7" w:rsidRPr="00064896">
        <w:rPr>
          <w:rFonts w:ascii="Verdana" w:eastAsia="Times New Roman" w:hAnsi="Verdana" w:cs="Times New Roman"/>
          <w:color w:val="FF0000"/>
          <w:vertAlign w:val="superscript"/>
          <w:lang w:eastAsia="en-PH"/>
        </w:rPr>
        <w:t>]</w:t>
      </w:r>
    </w:p>
    <w:p w:rsidR="00064896" w:rsidRPr="00064896" w:rsidRDefault="00064896" w:rsidP="00064896">
      <w:pPr>
        <w:numPr>
          <w:ilvl w:val="0"/>
          <w:numId w:val="1"/>
        </w:numPr>
        <w:spacing w:before="100" w:beforeAutospacing="1"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t>All rights accruing to the withdrawing stockholder's shares, including voting and dividend rights, shall be suspended from the time of demand for the payment of the fair value of the shares until either the abandonment of the corporate action involved or the purchase of the shares by the corporation, except the right of such stockholder to receive payment of the fair value of the shares.</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21"/>
      </w:r>
      <w:r w:rsidR="009079D7" w:rsidRPr="00064896">
        <w:rPr>
          <w:rFonts w:ascii="Verdana" w:eastAsia="Times New Roman" w:hAnsi="Verdana" w:cs="Times New Roman"/>
          <w:color w:val="FF0000"/>
          <w:vertAlign w:val="superscript"/>
          <w:lang w:eastAsia="en-PH"/>
        </w:rPr>
        <w:t>]</w:t>
      </w:r>
    </w:p>
    <w:p w:rsidR="00064896" w:rsidRPr="00064896" w:rsidRDefault="00064896" w:rsidP="00064896">
      <w:pPr>
        <w:numPr>
          <w:ilvl w:val="0"/>
          <w:numId w:val="1"/>
        </w:numPr>
        <w:spacing w:before="100" w:beforeAutospacing="1"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t>Within 10 days after demanding payment for his or her shares, a dissenting stockholder shall submit to the corporation the certificates of stock representing his shares for notation thereon that such shares are dissenting shares. A failure to do so shall, at the option of the corporation, terminate his rights under this Title X of the </w:t>
      </w:r>
      <w:r w:rsidRPr="00064896">
        <w:rPr>
          <w:rFonts w:ascii="Verdana" w:eastAsia="Times New Roman" w:hAnsi="Verdana" w:cs="Times New Roman"/>
          <w:i/>
          <w:iCs/>
          <w:color w:val="000000"/>
          <w:lang w:eastAsia="en-PH"/>
        </w:rPr>
        <w:t>Corporation Code</w:t>
      </w:r>
      <w:r w:rsidRPr="00064896">
        <w:rPr>
          <w:rFonts w:ascii="Verdana" w:eastAsia="Times New Roman" w:hAnsi="Verdana" w:cs="Times New Roman"/>
          <w:color w:val="000000"/>
          <w:lang w:eastAsia="en-PH"/>
        </w:rPr>
        <w:t xml:space="preserve">. If shares represented by the certificates bearing such notation are transferred, and the certificates are consequently </w:t>
      </w:r>
      <w:proofErr w:type="spellStart"/>
      <w:r w:rsidRPr="00064896">
        <w:rPr>
          <w:rFonts w:ascii="Verdana" w:eastAsia="Times New Roman" w:hAnsi="Verdana" w:cs="Times New Roman"/>
          <w:color w:val="000000"/>
          <w:lang w:eastAsia="en-PH"/>
        </w:rPr>
        <w:t>canceled</w:t>
      </w:r>
      <w:proofErr w:type="spellEnd"/>
      <w:r w:rsidRPr="00064896">
        <w:rPr>
          <w:rFonts w:ascii="Verdana" w:eastAsia="Times New Roman" w:hAnsi="Verdana" w:cs="Times New Roman"/>
          <w:color w:val="000000"/>
          <w:lang w:eastAsia="en-PH"/>
        </w:rPr>
        <w:t>, the rights of the transferor as a dissenting stockholder under this Title shall cease and the transferee shall have all the rights of a regular stockholder; and all dividend distributions that would have accrued on such shares shall be paid to the transferee.</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22"/>
      </w:r>
      <w:r w:rsidR="009079D7" w:rsidRPr="00064896">
        <w:rPr>
          <w:rFonts w:ascii="Verdana" w:eastAsia="Times New Roman" w:hAnsi="Verdana" w:cs="Times New Roman"/>
          <w:color w:val="FF0000"/>
          <w:vertAlign w:val="superscript"/>
          <w:lang w:eastAsia="en-PH"/>
        </w:rPr>
        <w:t>]</w:t>
      </w:r>
    </w:p>
    <w:p w:rsidR="00064896" w:rsidRPr="00064896" w:rsidRDefault="00064896" w:rsidP="00064896">
      <w:pPr>
        <w:numPr>
          <w:ilvl w:val="0"/>
          <w:numId w:val="1"/>
        </w:numPr>
        <w:spacing w:before="100" w:beforeAutospacing="1" w:after="100" w:afterAutospacing="1"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t>If the proposed corporate action is implemented or effected, the corporation shall pay to such stockholder, upon the surrender of the certificates of stock representing his shares, the fair value thereof as of the day prior to the date on which the vote was taken, excluding any appreciation or depreciation in anticipation of such corporate action.</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23"/>
      </w:r>
      <w:r w:rsidR="009079D7" w:rsidRPr="00064896">
        <w:rPr>
          <w:rFonts w:ascii="Verdana" w:eastAsia="Times New Roman" w:hAnsi="Verdana" w:cs="Times New Roman"/>
          <w:color w:val="FF0000"/>
          <w:vertAlign w:val="superscript"/>
          <w:lang w:eastAsia="en-PH"/>
        </w:rPr>
        <w:t>]</w:t>
      </w:r>
    </w:p>
    <w:p w:rsidR="00064896" w:rsidRPr="00064896" w:rsidRDefault="00064896" w:rsidP="00064896">
      <w:pPr>
        <w:spacing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highlight w:val="yellow"/>
          <w:lang w:eastAsia="en-PH"/>
        </w:rPr>
        <w:t>Notwithstanding the foregoing, no payment shall be made to any dissenting stockholder unless the corporation has unrestricted retained earnings in its books to cover the payment. In case the corporation has no available unrestricted retained earnings in its books, Section 83 of the </w:t>
      </w:r>
      <w:r w:rsidRPr="00064896">
        <w:rPr>
          <w:rFonts w:ascii="Verdana" w:eastAsia="Times New Roman" w:hAnsi="Verdana" w:cs="Times New Roman"/>
          <w:i/>
          <w:iCs/>
          <w:color w:val="000000"/>
          <w:highlight w:val="yellow"/>
          <w:lang w:eastAsia="en-PH"/>
        </w:rPr>
        <w:t xml:space="preserve">Corporation </w:t>
      </w:r>
      <w:r w:rsidRPr="00064896">
        <w:rPr>
          <w:rFonts w:ascii="Verdana" w:eastAsia="Times New Roman" w:hAnsi="Verdana" w:cs="Times New Roman"/>
          <w:i/>
          <w:iCs/>
          <w:color w:val="000000"/>
          <w:highlight w:val="yellow"/>
          <w:lang w:eastAsia="en-PH"/>
        </w:rPr>
        <w:lastRenderedPageBreak/>
        <w:t>Code</w:t>
      </w:r>
      <w:r w:rsidRPr="00064896">
        <w:rPr>
          <w:rFonts w:ascii="Verdana" w:eastAsia="Times New Roman" w:hAnsi="Verdana" w:cs="Times New Roman"/>
          <w:color w:val="000000"/>
          <w:highlight w:val="yellow"/>
          <w:lang w:eastAsia="en-PH"/>
        </w:rPr>
        <w:t> provides that if the dissenting stockholder is not paid the value of his shares within 30 days after the award, his voting and dividend rights shall immediately be restored.</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highlight w:val="yellow"/>
          <w:lang w:eastAsia="en-PH"/>
        </w:rPr>
        <w:t>The</w:t>
      </w:r>
      <w:r w:rsidRPr="00064896">
        <w:rPr>
          <w:rFonts w:ascii="Verdana" w:eastAsia="Times New Roman" w:hAnsi="Verdana" w:cs="Times New Roman"/>
          <w:i/>
          <w:iCs/>
          <w:color w:val="000000"/>
          <w:highlight w:val="yellow"/>
          <w:lang w:eastAsia="en-PH"/>
        </w:rPr>
        <w:t> trust fund doctrine</w:t>
      </w:r>
      <w:r w:rsidRPr="00064896">
        <w:rPr>
          <w:rFonts w:ascii="Verdana" w:eastAsia="Times New Roman" w:hAnsi="Verdana" w:cs="Times New Roman"/>
          <w:color w:val="000000"/>
          <w:highlight w:val="yellow"/>
          <w:lang w:eastAsia="en-PH"/>
        </w:rPr>
        <w:t> backstops the requirement of unrestricted retained earnings to fund the payment of the shares of stocks of the withdrawing stockholders. Under the doctrine, the capital stock, property, and other assets of a corporation are regarded as equity in trust for the payment of corporate creditors, who are preferred in the distribution of corporate assets.</w:t>
      </w:r>
      <w:r w:rsidR="009079D7" w:rsidRPr="007C54B3">
        <w:rPr>
          <w:rFonts w:ascii="Verdana" w:eastAsia="Times New Roman" w:hAnsi="Verdana" w:cs="Times New Roman"/>
          <w:color w:val="FF0000"/>
          <w:highlight w:val="yellow"/>
          <w:vertAlign w:val="superscript"/>
          <w:lang w:eastAsia="en-PH"/>
        </w:rPr>
        <w:t xml:space="preserve"> </w:t>
      </w:r>
      <w:r w:rsidR="009079D7" w:rsidRPr="00064896">
        <w:rPr>
          <w:rFonts w:ascii="Verdana" w:eastAsia="Times New Roman" w:hAnsi="Verdana" w:cs="Times New Roman"/>
          <w:color w:val="FF0000"/>
          <w:highlight w:val="yellow"/>
          <w:vertAlign w:val="superscript"/>
          <w:lang w:eastAsia="en-PH"/>
        </w:rPr>
        <w:t>[</w:t>
      </w:r>
      <w:r w:rsidR="009079D7" w:rsidRPr="007C54B3">
        <w:rPr>
          <w:rStyle w:val="FootnoteReference"/>
          <w:rFonts w:ascii="Verdana" w:eastAsia="Times New Roman" w:hAnsi="Verdana" w:cs="Times New Roman"/>
          <w:color w:val="FF0000"/>
          <w:highlight w:val="yellow"/>
          <w:lang w:eastAsia="en-PH"/>
        </w:rPr>
        <w:footnoteReference w:id="24"/>
      </w:r>
      <w:r w:rsidR="009079D7" w:rsidRPr="00064896">
        <w:rPr>
          <w:rFonts w:ascii="Verdana" w:eastAsia="Times New Roman" w:hAnsi="Verdana" w:cs="Times New Roman"/>
          <w:color w:val="FF0000"/>
          <w:highlight w:val="yellow"/>
          <w:vertAlign w:val="superscript"/>
          <w:lang w:eastAsia="en-PH"/>
        </w:rPr>
        <w:t>]</w:t>
      </w:r>
      <w:r w:rsidRPr="00064896">
        <w:rPr>
          <w:rFonts w:ascii="Verdana" w:eastAsia="Times New Roman" w:hAnsi="Verdana" w:cs="Times New Roman"/>
          <w:color w:val="000000"/>
          <w:highlight w:val="yellow"/>
          <w:lang w:eastAsia="en-PH"/>
        </w:rPr>
        <w:t> The creditors of a corporation have the right to assume that the board of directors will not use the assets of the corporation to purchase its own stock for as long as the corporation has outstanding debts and liabilities.</w:t>
      </w:r>
      <w:r w:rsidR="009079D7" w:rsidRPr="007C54B3">
        <w:rPr>
          <w:rFonts w:ascii="Verdana" w:eastAsia="Times New Roman" w:hAnsi="Verdana" w:cs="Times New Roman"/>
          <w:color w:val="FF0000"/>
          <w:highlight w:val="yellow"/>
          <w:vertAlign w:val="superscript"/>
          <w:lang w:eastAsia="en-PH"/>
        </w:rPr>
        <w:t xml:space="preserve"> </w:t>
      </w:r>
      <w:r w:rsidR="009079D7" w:rsidRPr="00064896">
        <w:rPr>
          <w:rFonts w:ascii="Verdana" w:eastAsia="Times New Roman" w:hAnsi="Verdana" w:cs="Times New Roman"/>
          <w:color w:val="FF0000"/>
          <w:highlight w:val="yellow"/>
          <w:vertAlign w:val="superscript"/>
          <w:lang w:eastAsia="en-PH"/>
        </w:rPr>
        <w:t>[</w:t>
      </w:r>
      <w:r w:rsidR="009079D7" w:rsidRPr="007C54B3">
        <w:rPr>
          <w:rStyle w:val="FootnoteReference"/>
          <w:rFonts w:ascii="Verdana" w:eastAsia="Times New Roman" w:hAnsi="Verdana" w:cs="Times New Roman"/>
          <w:color w:val="FF0000"/>
          <w:highlight w:val="yellow"/>
          <w:lang w:eastAsia="en-PH"/>
        </w:rPr>
        <w:footnoteReference w:id="25"/>
      </w:r>
      <w:r w:rsidR="009079D7" w:rsidRPr="00064896">
        <w:rPr>
          <w:rFonts w:ascii="Verdana" w:eastAsia="Times New Roman" w:hAnsi="Verdana" w:cs="Times New Roman"/>
          <w:color w:val="FF0000"/>
          <w:highlight w:val="yellow"/>
          <w:vertAlign w:val="superscript"/>
          <w:lang w:eastAsia="en-PH"/>
        </w:rPr>
        <w:t>]</w:t>
      </w:r>
      <w:r w:rsidRPr="00064896">
        <w:rPr>
          <w:rFonts w:ascii="Verdana" w:eastAsia="Times New Roman" w:hAnsi="Verdana" w:cs="Times New Roman"/>
          <w:color w:val="000000"/>
          <w:highlight w:val="yellow"/>
          <w:lang w:eastAsia="en-PH"/>
        </w:rPr>
        <w:t> There can be no distribution of assets among the stockholders without first paying corporate debts. Thus, any disposition of corporate funds and assets to the prejudice of creditors is null and void.</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26"/>
      </w:r>
      <w:r w:rsidR="009079D7" w:rsidRPr="00064896">
        <w:rPr>
          <w:rFonts w:ascii="Verdana" w:eastAsia="Times New Roman" w:hAnsi="Verdana" w:cs="Times New Roman"/>
          <w:color w:val="FF0000"/>
          <w:vertAlign w:val="superscript"/>
          <w:lang w:eastAsia="en-PH"/>
        </w:rPr>
        <w:t>]</w:t>
      </w:r>
    </w:p>
    <w:p w:rsidR="009079D7" w:rsidRDefault="00064896" w:rsidP="00064896">
      <w:pPr>
        <w:spacing w:after="0" w:line="240" w:lineRule="auto"/>
        <w:jc w:val="center"/>
        <w:rPr>
          <w:rFonts w:ascii="Verdana" w:eastAsia="Times New Roman" w:hAnsi="Verdana" w:cs="Times New Roman"/>
          <w:b/>
          <w:bCs/>
          <w:color w:val="000000"/>
          <w:lang w:eastAsia="en-PH"/>
        </w:rPr>
      </w:pPr>
      <w:r w:rsidRPr="00064896">
        <w:rPr>
          <w:rFonts w:ascii="Verdana" w:eastAsia="Times New Roman" w:hAnsi="Verdana" w:cs="Times New Roman"/>
          <w:b/>
          <w:bCs/>
          <w:color w:val="000000"/>
          <w:lang w:eastAsia="en-PH"/>
        </w:rPr>
        <w:t>B.</w:t>
      </w:r>
    </w:p>
    <w:p w:rsidR="00064896" w:rsidRPr="00064896" w:rsidRDefault="00064896" w:rsidP="00064896">
      <w:pPr>
        <w:spacing w:after="0" w:line="240" w:lineRule="auto"/>
        <w:jc w:val="center"/>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br/>
      </w:r>
      <w:r w:rsidRPr="00064896">
        <w:rPr>
          <w:rFonts w:ascii="Verdana" w:eastAsia="Times New Roman" w:hAnsi="Verdana" w:cs="Times New Roman"/>
          <w:b/>
          <w:bCs/>
          <w:color w:val="000000"/>
          <w:lang w:eastAsia="en-PH"/>
        </w:rPr>
        <w:t>Petitioners' cause of action was premature</w:t>
      </w:r>
    </w:p>
    <w:p w:rsidR="00064896" w:rsidRPr="00064896" w:rsidRDefault="00064896" w:rsidP="00064896">
      <w:pPr>
        <w:spacing w:after="240" w:line="240" w:lineRule="auto"/>
        <w:rPr>
          <w:rFonts w:ascii="Verdana" w:eastAsia="Times New Roman" w:hAnsi="Verdana" w:cs="Times New Roman"/>
          <w:color w:val="000000"/>
          <w:lang w:eastAsia="en-PH"/>
        </w:rPr>
      </w:pPr>
      <w:r w:rsidRPr="00064896">
        <w:rPr>
          <w:rFonts w:ascii="Verdana" w:eastAsia="Times New Roman" w:hAnsi="Verdana" w:cs="Times New Roman"/>
          <w:color w:val="000000"/>
          <w:lang w:eastAsia="en-PH"/>
        </w:rPr>
        <w:br/>
        <w:t>That the respondent had indisputably no unrestricted retained earnings in its books at the time the petitioners commenced Civil Case No. 01-086 on January 22, 2001 proved that the respondent's legal obligation to pay the value of the petitioners' shares did not yet arise. Thus, the CA did not err in holding that the petitioners had no cause of action, and in ruling that the RTC did not validly render the partial summary judgment.</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highlight w:val="yellow"/>
          <w:lang w:eastAsia="en-PH"/>
        </w:rPr>
        <w:t>A cause of action is the act or omission by which a party violates a right of another.</w:t>
      </w:r>
      <w:r w:rsidR="009079D7" w:rsidRPr="007C54B3">
        <w:rPr>
          <w:rFonts w:ascii="Verdana" w:eastAsia="Times New Roman" w:hAnsi="Verdana" w:cs="Times New Roman"/>
          <w:color w:val="FF0000"/>
          <w:highlight w:val="yellow"/>
          <w:vertAlign w:val="superscript"/>
          <w:lang w:eastAsia="en-PH"/>
        </w:rPr>
        <w:t xml:space="preserve"> </w:t>
      </w:r>
      <w:r w:rsidR="009079D7" w:rsidRPr="00064896">
        <w:rPr>
          <w:rFonts w:ascii="Verdana" w:eastAsia="Times New Roman" w:hAnsi="Verdana" w:cs="Times New Roman"/>
          <w:color w:val="FF0000"/>
          <w:highlight w:val="yellow"/>
          <w:vertAlign w:val="superscript"/>
          <w:lang w:eastAsia="en-PH"/>
        </w:rPr>
        <w:t>[</w:t>
      </w:r>
      <w:r w:rsidR="009079D7" w:rsidRPr="007C54B3">
        <w:rPr>
          <w:rStyle w:val="FootnoteReference"/>
          <w:rFonts w:ascii="Verdana" w:eastAsia="Times New Roman" w:hAnsi="Verdana" w:cs="Times New Roman"/>
          <w:color w:val="FF0000"/>
          <w:highlight w:val="yellow"/>
          <w:lang w:eastAsia="en-PH"/>
        </w:rPr>
        <w:footnoteReference w:id="27"/>
      </w:r>
      <w:r w:rsidR="009079D7" w:rsidRPr="00064896">
        <w:rPr>
          <w:rFonts w:ascii="Verdana" w:eastAsia="Times New Roman" w:hAnsi="Verdana" w:cs="Times New Roman"/>
          <w:color w:val="FF0000"/>
          <w:highlight w:val="yellow"/>
          <w:vertAlign w:val="superscript"/>
          <w:lang w:eastAsia="en-PH"/>
        </w:rPr>
        <w:t>]</w:t>
      </w:r>
      <w:r w:rsidRPr="00064896">
        <w:rPr>
          <w:rFonts w:ascii="Verdana" w:eastAsia="Times New Roman" w:hAnsi="Verdana" w:cs="Times New Roman"/>
          <w:color w:val="000000"/>
          <w:highlight w:val="yellow"/>
          <w:lang w:eastAsia="en-PH"/>
        </w:rPr>
        <w:t> The essential elements of a cause of action are: (</w:t>
      </w:r>
      <w:r w:rsidRPr="00064896">
        <w:rPr>
          <w:rFonts w:ascii="Verdana" w:eastAsia="Times New Roman" w:hAnsi="Verdana" w:cs="Times New Roman"/>
          <w:i/>
          <w:iCs/>
          <w:color w:val="000000"/>
          <w:highlight w:val="yellow"/>
          <w:lang w:eastAsia="en-PH"/>
        </w:rPr>
        <w:t>a</w:t>
      </w:r>
      <w:r w:rsidRPr="00064896">
        <w:rPr>
          <w:rFonts w:ascii="Verdana" w:eastAsia="Times New Roman" w:hAnsi="Verdana" w:cs="Times New Roman"/>
          <w:color w:val="000000"/>
          <w:highlight w:val="yellow"/>
          <w:lang w:eastAsia="en-PH"/>
        </w:rPr>
        <w:t xml:space="preserve">) the existence of a legal right in </w:t>
      </w:r>
      <w:proofErr w:type="spellStart"/>
      <w:r w:rsidRPr="00064896">
        <w:rPr>
          <w:rFonts w:ascii="Verdana" w:eastAsia="Times New Roman" w:hAnsi="Verdana" w:cs="Times New Roman"/>
          <w:color w:val="000000"/>
          <w:highlight w:val="yellow"/>
          <w:lang w:eastAsia="en-PH"/>
        </w:rPr>
        <w:t>favor</w:t>
      </w:r>
      <w:proofErr w:type="spellEnd"/>
      <w:r w:rsidRPr="00064896">
        <w:rPr>
          <w:rFonts w:ascii="Verdana" w:eastAsia="Times New Roman" w:hAnsi="Verdana" w:cs="Times New Roman"/>
          <w:color w:val="000000"/>
          <w:highlight w:val="yellow"/>
          <w:lang w:eastAsia="en-PH"/>
        </w:rPr>
        <w:t xml:space="preserve"> of the plaintiff; (</w:t>
      </w:r>
      <w:r w:rsidRPr="00064896">
        <w:rPr>
          <w:rFonts w:ascii="Verdana" w:eastAsia="Times New Roman" w:hAnsi="Verdana" w:cs="Times New Roman"/>
          <w:i/>
          <w:iCs/>
          <w:color w:val="000000"/>
          <w:highlight w:val="yellow"/>
          <w:lang w:eastAsia="en-PH"/>
        </w:rPr>
        <w:t>b</w:t>
      </w:r>
      <w:r w:rsidRPr="00064896">
        <w:rPr>
          <w:rFonts w:ascii="Verdana" w:eastAsia="Times New Roman" w:hAnsi="Verdana" w:cs="Times New Roman"/>
          <w:color w:val="000000"/>
          <w:highlight w:val="yellow"/>
          <w:lang w:eastAsia="en-PH"/>
        </w:rPr>
        <w:t>) a correlative legal duty of the defendant to respect such right; and (</w:t>
      </w:r>
      <w:r w:rsidRPr="00064896">
        <w:rPr>
          <w:rFonts w:ascii="Verdana" w:eastAsia="Times New Roman" w:hAnsi="Verdana" w:cs="Times New Roman"/>
          <w:i/>
          <w:iCs/>
          <w:color w:val="000000"/>
          <w:highlight w:val="yellow"/>
          <w:lang w:eastAsia="en-PH"/>
        </w:rPr>
        <w:t>c</w:t>
      </w:r>
      <w:r w:rsidRPr="00064896">
        <w:rPr>
          <w:rFonts w:ascii="Verdana" w:eastAsia="Times New Roman" w:hAnsi="Verdana" w:cs="Times New Roman"/>
          <w:color w:val="000000"/>
          <w:highlight w:val="yellow"/>
          <w:lang w:eastAsia="en-PH"/>
        </w:rPr>
        <w:t>) an act or omission by such defendant in violation of the right of the plaintiff with a resulting injury or damage to the plaintiff for which the latter may maintain an action for the recovery of relief from the defendant.</w:t>
      </w:r>
      <w:r w:rsidR="009079D7" w:rsidRPr="007C54B3">
        <w:rPr>
          <w:rFonts w:ascii="Verdana" w:eastAsia="Times New Roman" w:hAnsi="Verdana" w:cs="Times New Roman"/>
          <w:color w:val="FF0000"/>
          <w:highlight w:val="yellow"/>
          <w:vertAlign w:val="superscript"/>
          <w:lang w:eastAsia="en-PH"/>
        </w:rPr>
        <w:t xml:space="preserve"> </w:t>
      </w:r>
      <w:r w:rsidR="009079D7" w:rsidRPr="00064896">
        <w:rPr>
          <w:rFonts w:ascii="Verdana" w:eastAsia="Times New Roman" w:hAnsi="Verdana" w:cs="Times New Roman"/>
          <w:color w:val="FF0000"/>
          <w:highlight w:val="yellow"/>
          <w:vertAlign w:val="superscript"/>
          <w:lang w:eastAsia="en-PH"/>
        </w:rPr>
        <w:t>[</w:t>
      </w:r>
      <w:r w:rsidR="009079D7" w:rsidRPr="007C54B3">
        <w:rPr>
          <w:rStyle w:val="FootnoteReference"/>
          <w:rFonts w:ascii="Verdana" w:eastAsia="Times New Roman" w:hAnsi="Verdana" w:cs="Times New Roman"/>
          <w:color w:val="FF0000"/>
          <w:highlight w:val="yellow"/>
          <w:lang w:eastAsia="en-PH"/>
        </w:rPr>
        <w:footnoteReference w:id="28"/>
      </w:r>
      <w:r w:rsidR="009079D7" w:rsidRPr="00064896">
        <w:rPr>
          <w:rFonts w:ascii="Verdana" w:eastAsia="Times New Roman" w:hAnsi="Verdana" w:cs="Times New Roman"/>
          <w:color w:val="FF0000"/>
          <w:highlight w:val="yellow"/>
          <w:vertAlign w:val="superscript"/>
          <w:lang w:eastAsia="en-PH"/>
        </w:rPr>
        <w:t>]</w:t>
      </w:r>
      <w:r w:rsidRPr="00064896">
        <w:rPr>
          <w:rFonts w:ascii="Verdana" w:eastAsia="Times New Roman" w:hAnsi="Verdana" w:cs="Times New Roman"/>
          <w:color w:val="000000"/>
          <w:highlight w:val="yellow"/>
          <w:lang w:eastAsia="en-PH"/>
        </w:rPr>
        <w:t xml:space="preserve"> Although the first two elements may exist, a cause of action arises </w:t>
      </w:r>
      <w:r w:rsidRPr="00064896">
        <w:rPr>
          <w:rFonts w:ascii="Verdana" w:eastAsia="Times New Roman" w:hAnsi="Verdana" w:cs="Times New Roman"/>
          <w:color w:val="000000"/>
          <w:highlight w:val="yellow"/>
          <w:lang w:eastAsia="en-PH"/>
        </w:rPr>
        <w:lastRenderedPageBreak/>
        <w:t>only upon the occurrence of the last element, giving the plaintiff the right to maintain an action in court for recovery of damages or other appropriate relief.</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29"/>
      </w:r>
      <w:proofErr w:type="gramStart"/>
      <w:r w:rsidR="009079D7" w:rsidRPr="00064896">
        <w:rPr>
          <w:rFonts w:ascii="Verdana" w:eastAsia="Times New Roman" w:hAnsi="Verdana" w:cs="Times New Roman"/>
          <w:color w:val="FF0000"/>
          <w:vertAlign w:val="superscript"/>
          <w:lang w:eastAsia="en-PH"/>
        </w:rPr>
        <w:t>]</w:t>
      </w:r>
      <w:proofErr w:type="gramEnd"/>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Section 1, Rule 2, of the </w:t>
      </w:r>
      <w:r w:rsidRPr="00064896">
        <w:rPr>
          <w:rFonts w:ascii="Verdana" w:eastAsia="Times New Roman" w:hAnsi="Verdana" w:cs="Times New Roman"/>
          <w:i/>
          <w:iCs/>
          <w:color w:val="000000"/>
          <w:lang w:eastAsia="en-PH"/>
        </w:rPr>
        <w:t>Rules of Court</w:t>
      </w:r>
      <w:r w:rsidRPr="00064896">
        <w:rPr>
          <w:rFonts w:ascii="Verdana" w:eastAsia="Times New Roman" w:hAnsi="Verdana" w:cs="Times New Roman"/>
          <w:color w:val="000000"/>
          <w:lang w:eastAsia="en-PH"/>
        </w:rPr>
        <w:t> requires that every ordinary civil action must be based on a cause of action. Accordingly, Civil Case No. 01-086 was dismissible from the beginning for being without any cause of action.</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The RTC concluded that the respondent's obligation to pay had accrued by its having the unrestricted retained earnings after the making of the demand by the petitioners. It based its conclusion on the fact that the </w:t>
      </w:r>
      <w:r w:rsidRPr="00064896">
        <w:rPr>
          <w:rFonts w:ascii="Verdana" w:eastAsia="Times New Roman" w:hAnsi="Verdana" w:cs="Times New Roman"/>
          <w:i/>
          <w:iCs/>
          <w:color w:val="000000"/>
          <w:lang w:eastAsia="en-PH"/>
        </w:rPr>
        <w:t>Corporation Code</w:t>
      </w:r>
      <w:r w:rsidRPr="00064896">
        <w:rPr>
          <w:rFonts w:ascii="Verdana" w:eastAsia="Times New Roman" w:hAnsi="Verdana" w:cs="Times New Roman"/>
          <w:color w:val="000000"/>
          <w:lang w:eastAsia="en-PH"/>
        </w:rPr>
        <w:t> did not provide that the unrestricted retained earnings must already exist at the time of the demand.</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The RTC's construal of the </w:t>
      </w:r>
      <w:r w:rsidRPr="00064896">
        <w:rPr>
          <w:rFonts w:ascii="Verdana" w:eastAsia="Times New Roman" w:hAnsi="Verdana" w:cs="Times New Roman"/>
          <w:i/>
          <w:iCs/>
          <w:color w:val="000000"/>
          <w:lang w:eastAsia="en-PH"/>
        </w:rPr>
        <w:t>Corporation Code</w:t>
      </w:r>
      <w:r w:rsidRPr="00064896">
        <w:rPr>
          <w:rFonts w:ascii="Verdana" w:eastAsia="Times New Roman" w:hAnsi="Verdana" w:cs="Times New Roman"/>
          <w:color w:val="000000"/>
          <w:lang w:eastAsia="en-PH"/>
        </w:rPr>
        <w:t> was unsustainable, because it did not take into account the petitioners' lack of a cause of action against the respondent. In order to give rise to any obligation to pay on the part of the respondent, the petitioners should first make a valid demand that the respondent refused to pay despite having unrestricted retained earnings. Otherwise, the respondent could not be said to be guilty of any actionable omission that could sustain their action to collect.</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highlight w:val="yellow"/>
          <w:lang w:eastAsia="en-PH"/>
        </w:rPr>
        <w:t>Neither did the subsequent existence of unrestricted retained earnings after the filing of the complaint cure the lack of cause of action in Civil Case No. 01-086. The petitioners' right of action could only spring from an </w:t>
      </w:r>
      <w:r w:rsidRPr="00064896">
        <w:rPr>
          <w:rFonts w:ascii="Verdana" w:eastAsia="Times New Roman" w:hAnsi="Verdana" w:cs="Times New Roman"/>
          <w:i/>
          <w:iCs/>
          <w:color w:val="000000"/>
          <w:highlight w:val="yellow"/>
          <w:lang w:eastAsia="en-PH"/>
        </w:rPr>
        <w:t>existing</w:t>
      </w:r>
      <w:r w:rsidRPr="00064896">
        <w:rPr>
          <w:rFonts w:ascii="Verdana" w:eastAsia="Times New Roman" w:hAnsi="Verdana" w:cs="Times New Roman"/>
          <w:color w:val="000000"/>
          <w:highlight w:val="yellow"/>
          <w:lang w:eastAsia="en-PH"/>
        </w:rPr>
        <w:t> cause of action. Thus, a complaint whose cause of action has not yet accrued cannot be cured by an amended or supplemental pleading alleging the existence or accrual of a cause of action during the pendency of the action.</w:t>
      </w:r>
      <w:r w:rsidR="009079D7" w:rsidRPr="007C54B3">
        <w:rPr>
          <w:rFonts w:ascii="Verdana" w:eastAsia="Times New Roman" w:hAnsi="Verdana" w:cs="Times New Roman"/>
          <w:color w:val="FF0000"/>
          <w:highlight w:val="yellow"/>
          <w:vertAlign w:val="superscript"/>
          <w:lang w:eastAsia="en-PH"/>
        </w:rPr>
        <w:t xml:space="preserve"> </w:t>
      </w:r>
      <w:r w:rsidR="009079D7" w:rsidRPr="00064896">
        <w:rPr>
          <w:rFonts w:ascii="Verdana" w:eastAsia="Times New Roman" w:hAnsi="Verdana" w:cs="Times New Roman"/>
          <w:color w:val="FF0000"/>
          <w:highlight w:val="yellow"/>
          <w:vertAlign w:val="superscript"/>
          <w:lang w:eastAsia="en-PH"/>
        </w:rPr>
        <w:t>[</w:t>
      </w:r>
      <w:r w:rsidR="009079D7" w:rsidRPr="007C54B3">
        <w:rPr>
          <w:rStyle w:val="FootnoteReference"/>
          <w:rFonts w:ascii="Verdana" w:eastAsia="Times New Roman" w:hAnsi="Verdana" w:cs="Times New Roman"/>
          <w:color w:val="FF0000"/>
          <w:highlight w:val="yellow"/>
          <w:lang w:eastAsia="en-PH"/>
        </w:rPr>
        <w:footnoteReference w:id="30"/>
      </w:r>
      <w:r w:rsidR="009079D7" w:rsidRPr="00064896">
        <w:rPr>
          <w:rFonts w:ascii="Verdana" w:eastAsia="Times New Roman" w:hAnsi="Verdana" w:cs="Times New Roman"/>
          <w:color w:val="FF0000"/>
          <w:highlight w:val="yellow"/>
          <w:vertAlign w:val="superscript"/>
          <w:lang w:eastAsia="en-PH"/>
        </w:rPr>
        <w:t>]</w:t>
      </w:r>
      <w:r w:rsidRPr="00064896">
        <w:rPr>
          <w:rFonts w:ascii="Verdana" w:eastAsia="Times New Roman" w:hAnsi="Verdana" w:cs="Times New Roman"/>
          <w:color w:val="000000"/>
          <w:highlight w:val="yellow"/>
          <w:lang w:eastAsia="en-PH"/>
        </w:rPr>
        <w:t> For, only when there is an invasion of primary rights, not before, does the adjective or remedial law become operative.</w:t>
      </w:r>
      <w:r w:rsidR="009079D7" w:rsidRPr="007C54B3">
        <w:rPr>
          <w:rFonts w:ascii="Verdana" w:eastAsia="Times New Roman" w:hAnsi="Verdana" w:cs="Times New Roman"/>
          <w:color w:val="FF0000"/>
          <w:highlight w:val="yellow"/>
          <w:vertAlign w:val="superscript"/>
          <w:lang w:eastAsia="en-PH"/>
        </w:rPr>
        <w:t xml:space="preserve"> </w:t>
      </w:r>
      <w:r w:rsidR="009079D7" w:rsidRPr="00064896">
        <w:rPr>
          <w:rFonts w:ascii="Verdana" w:eastAsia="Times New Roman" w:hAnsi="Verdana" w:cs="Times New Roman"/>
          <w:color w:val="FF0000"/>
          <w:highlight w:val="yellow"/>
          <w:vertAlign w:val="superscript"/>
          <w:lang w:eastAsia="en-PH"/>
        </w:rPr>
        <w:t>[</w:t>
      </w:r>
      <w:r w:rsidR="009079D7" w:rsidRPr="007C54B3">
        <w:rPr>
          <w:rStyle w:val="FootnoteReference"/>
          <w:rFonts w:ascii="Verdana" w:eastAsia="Times New Roman" w:hAnsi="Verdana" w:cs="Times New Roman"/>
          <w:color w:val="FF0000"/>
          <w:highlight w:val="yellow"/>
          <w:lang w:eastAsia="en-PH"/>
        </w:rPr>
        <w:footnoteReference w:id="31"/>
      </w:r>
      <w:r w:rsidR="009079D7" w:rsidRPr="00064896">
        <w:rPr>
          <w:rFonts w:ascii="Verdana" w:eastAsia="Times New Roman" w:hAnsi="Verdana" w:cs="Times New Roman"/>
          <w:color w:val="FF0000"/>
          <w:highlight w:val="yellow"/>
          <w:vertAlign w:val="superscript"/>
          <w:lang w:eastAsia="en-PH"/>
        </w:rPr>
        <w:t>]</w:t>
      </w:r>
      <w:r w:rsidRPr="00064896">
        <w:rPr>
          <w:rFonts w:ascii="Verdana" w:eastAsia="Times New Roman" w:hAnsi="Verdana" w:cs="Times New Roman"/>
          <w:color w:val="000000"/>
          <w:highlight w:val="yellow"/>
          <w:lang w:eastAsia="en-PH"/>
        </w:rPr>
        <w:t> Verily, a premature invocation of the court's intervention renders the complaint without a cause of action and dismissible on such ground.</w:t>
      </w:r>
      <w:r w:rsidR="009079D7" w:rsidRPr="007C54B3">
        <w:rPr>
          <w:rFonts w:ascii="Verdana" w:eastAsia="Times New Roman" w:hAnsi="Verdana" w:cs="Times New Roman"/>
          <w:color w:val="FF0000"/>
          <w:highlight w:val="yellow"/>
          <w:vertAlign w:val="superscript"/>
          <w:lang w:eastAsia="en-PH"/>
        </w:rPr>
        <w:t xml:space="preserve"> </w:t>
      </w:r>
      <w:r w:rsidR="009079D7" w:rsidRPr="00064896">
        <w:rPr>
          <w:rFonts w:ascii="Verdana" w:eastAsia="Times New Roman" w:hAnsi="Verdana" w:cs="Times New Roman"/>
          <w:color w:val="FF0000"/>
          <w:highlight w:val="yellow"/>
          <w:vertAlign w:val="superscript"/>
          <w:lang w:eastAsia="en-PH"/>
        </w:rPr>
        <w:t>[</w:t>
      </w:r>
      <w:r w:rsidR="009079D7" w:rsidRPr="007C54B3">
        <w:rPr>
          <w:rStyle w:val="FootnoteReference"/>
          <w:rFonts w:ascii="Verdana" w:eastAsia="Times New Roman" w:hAnsi="Verdana" w:cs="Times New Roman"/>
          <w:color w:val="FF0000"/>
          <w:highlight w:val="yellow"/>
          <w:lang w:eastAsia="en-PH"/>
        </w:rPr>
        <w:footnoteReference w:id="32"/>
      </w:r>
      <w:r w:rsidR="009079D7" w:rsidRPr="00064896">
        <w:rPr>
          <w:rFonts w:ascii="Verdana" w:eastAsia="Times New Roman" w:hAnsi="Verdana" w:cs="Times New Roman"/>
          <w:color w:val="FF0000"/>
          <w:highlight w:val="yellow"/>
          <w:vertAlign w:val="superscript"/>
          <w:lang w:eastAsia="en-PH"/>
        </w:rPr>
        <w:t>]</w:t>
      </w:r>
      <w:r w:rsidRPr="00064896">
        <w:rPr>
          <w:rFonts w:ascii="Verdana" w:eastAsia="Times New Roman" w:hAnsi="Verdana" w:cs="Times New Roman"/>
          <w:color w:val="000000"/>
          <w:highlight w:val="yellow"/>
          <w:lang w:eastAsia="en-PH"/>
        </w:rPr>
        <w:t> In short, Civil Case No. 01-086, being a groundless suit, should be dismissed.</w:t>
      </w:r>
      <w:bookmarkStart w:id="0" w:name="_GoBack"/>
      <w:bookmarkEnd w:id="0"/>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Even the fact that the respondent already had unrestricted retained earnings more than sufficient to cover the petitioners' claims on June 26, 2002 (when they filed their </w:t>
      </w:r>
      <w:r w:rsidRPr="00064896">
        <w:rPr>
          <w:rFonts w:ascii="Verdana" w:eastAsia="Times New Roman" w:hAnsi="Verdana" w:cs="Times New Roman"/>
          <w:i/>
          <w:iCs/>
          <w:color w:val="000000"/>
          <w:lang w:eastAsia="en-PH"/>
        </w:rPr>
        <w:t>motion for partial summary judgment</w:t>
      </w:r>
      <w:r w:rsidRPr="00064896">
        <w:rPr>
          <w:rFonts w:ascii="Verdana" w:eastAsia="Times New Roman" w:hAnsi="Verdana" w:cs="Times New Roman"/>
          <w:color w:val="000000"/>
          <w:lang w:eastAsia="en-PH"/>
        </w:rPr>
        <w:t>) did not rectify the absence of the cause of action at the time of the commencement of Civil Case No. 01-086. The </w:t>
      </w:r>
      <w:r w:rsidRPr="00064896">
        <w:rPr>
          <w:rFonts w:ascii="Verdana" w:eastAsia="Times New Roman" w:hAnsi="Verdana" w:cs="Times New Roman"/>
          <w:i/>
          <w:iCs/>
          <w:color w:val="000000"/>
          <w:lang w:eastAsia="en-PH"/>
        </w:rPr>
        <w:t>motion for partial summary judgment</w:t>
      </w:r>
      <w:r w:rsidRPr="00064896">
        <w:rPr>
          <w:rFonts w:ascii="Verdana" w:eastAsia="Times New Roman" w:hAnsi="Verdana" w:cs="Times New Roman"/>
          <w:color w:val="000000"/>
          <w:lang w:eastAsia="en-PH"/>
        </w:rPr>
        <w:t>, being a mere application for relief other than by a pleading,</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33"/>
      </w:r>
      <w:r w:rsidR="009079D7" w:rsidRPr="00064896">
        <w:rPr>
          <w:rFonts w:ascii="Verdana" w:eastAsia="Times New Roman" w:hAnsi="Verdana" w:cs="Times New Roman"/>
          <w:color w:val="FF0000"/>
          <w:vertAlign w:val="superscript"/>
          <w:lang w:eastAsia="en-PH"/>
        </w:rPr>
        <w:t>]</w:t>
      </w:r>
      <w:r w:rsidRPr="00064896">
        <w:rPr>
          <w:rFonts w:ascii="Verdana" w:eastAsia="Times New Roman" w:hAnsi="Verdana" w:cs="Times New Roman"/>
          <w:color w:val="000000"/>
          <w:lang w:eastAsia="en-PH"/>
        </w:rPr>
        <w:t> was not the same as the complaint in Civil Case No. 01-086. Thereby, the petitioners did not meet the requirement of the </w:t>
      </w:r>
      <w:r w:rsidRPr="00064896">
        <w:rPr>
          <w:rFonts w:ascii="Verdana" w:eastAsia="Times New Roman" w:hAnsi="Verdana" w:cs="Times New Roman"/>
          <w:i/>
          <w:iCs/>
          <w:color w:val="000000"/>
          <w:lang w:eastAsia="en-PH"/>
        </w:rPr>
        <w:t>Rules of Court</w:t>
      </w:r>
      <w:r w:rsidRPr="00064896">
        <w:rPr>
          <w:rFonts w:ascii="Verdana" w:eastAsia="Times New Roman" w:hAnsi="Verdana" w:cs="Times New Roman"/>
          <w:color w:val="000000"/>
          <w:lang w:eastAsia="en-PH"/>
        </w:rPr>
        <w:t> that a cause of action must exist at the commencement of an action, which is "commenced by the filing of the original complaint in court."</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34"/>
      </w:r>
      <w:r w:rsidR="009079D7" w:rsidRPr="00064896">
        <w:rPr>
          <w:rFonts w:ascii="Verdana" w:eastAsia="Times New Roman" w:hAnsi="Verdana" w:cs="Times New Roman"/>
          <w:color w:val="FF0000"/>
          <w:vertAlign w:val="superscript"/>
          <w:lang w:eastAsia="en-PH"/>
        </w:rPr>
        <w:t>]</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The petitioners claim that the respondent's petition for </w:t>
      </w:r>
      <w:r w:rsidRPr="00064896">
        <w:rPr>
          <w:rFonts w:ascii="Verdana" w:eastAsia="Times New Roman" w:hAnsi="Verdana" w:cs="Times New Roman"/>
          <w:i/>
          <w:iCs/>
          <w:color w:val="000000"/>
          <w:lang w:eastAsia="en-PH"/>
        </w:rPr>
        <w:t>certiorari</w:t>
      </w:r>
      <w:r w:rsidRPr="00064896">
        <w:rPr>
          <w:rFonts w:ascii="Verdana" w:eastAsia="Times New Roman" w:hAnsi="Verdana" w:cs="Times New Roman"/>
          <w:color w:val="000000"/>
          <w:lang w:eastAsia="en-PH"/>
        </w:rPr>
        <w:t xml:space="preserve"> sought only the </w:t>
      </w:r>
      <w:r w:rsidRPr="00064896">
        <w:rPr>
          <w:rFonts w:ascii="Verdana" w:eastAsia="Times New Roman" w:hAnsi="Verdana" w:cs="Times New Roman"/>
          <w:color w:val="000000"/>
          <w:lang w:eastAsia="en-PH"/>
        </w:rPr>
        <w:lastRenderedPageBreak/>
        <w:t>annulment of the assailed orders of the RTC (</w:t>
      </w:r>
      <w:r w:rsidRPr="00064896">
        <w:rPr>
          <w:rFonts w:ascii="Verdana" w:eastAsia="Times New Roman" w:hAnsi="Verdana" w:cs="Times New Roman"/>
          <w:i/>
          <w:iCs/>
          <w:color w:val="000000"/>
          <w:lang w:eastAsia="en-PH"/>
        </w:rPr>
        <w:t>i.e</w:t>
      </w:r>
      <w:r w:rsidRPr="00064896">
        <w:rPr>
          <w:rFonts w:ascii="Verdana" w:eastAsia="Times New Roman" w:hAnsi="Verdana" w:cs="Times New Roman"/>
          <w:color w:val="000000"/>
          <w:lang w:eastAsia="en-PH"/>
        </w:rPr>
        <w:t>., granting the </w:t>
      </w:r>
      <w:r w:rsidRPr="00064896">
        <w:rPr>
          <w:rFonts w:ascii="Verdana" w:eastAsia="Times New Roman" w:hAnsi="Verdana" w:cs="Times New Roman"/>
          <w:i/>
          <w:iCs/>
          <w:color w:val="000000"/>
          <w:lang w:eastAsia="en-PH"/>
        </w:rPr>
        <w:t>motion for partial summary judgment</w:t>
      </w:r>
      <w:r w:rsidRPr="00064896">
        <w:rPr>
          <w:rFonts w:ascii="Verdana" w:eastAsia="Times New Roman" w:hAnsi="Verdana" w:cs="Times New Roman"/>
          <w:color w:val="000000"/>
          <w:lang w:eastAsia="en-PH"/>
        </w:rPr>
        <w:t> and the </w:t>
      </w:r>
      <w:r w:rsidRPr="00064896">
        <w:rPr>
          <w:rFonts w:ascii="Verdana" w:eastAsia="Times New Roman" w:hAnsi="Verdana" w:cs="Times New Roman"/>
          <w:i/>
          <w:iCs/>
          <w:color w:val="000000"/>
          <w:lang w:eastAsia="en-PH"/>
        </w:rPr>
        <w:t>motion for immediate execution</w:t>
      </w:r>
      <w:r w:rsidRPr="00064896">
        <w:rPr>
          <w:rFonts w:ascii="Verdana" w:eastAsia="Times New Roman" w:hAnsi="Verdana" w:cs="Times New Roman"/>
          <w:color w:val="000000"/>
          <w:lang w:eastAsia="en-PH"/>
        </w:rPr>
        <w:t>); hence, the CA had no right to direct the dismissal of Civil Case No. 01-086.</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The claim of the petitioners cannot stand.</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Although the respondent's petition for </w:t>
      </w:r>
      <w:r w:rsidRPr="00064896">
        <w:rPr>
          <w:rFonts w:ascii="Verdana" w:eastAsia="Times New Roman" w:hAnsi="Verdana" w:cs="Times New Roman"/>
          <w:i/>
          <w:iCs/>
          <w:color w:val="000000"/>
          <w:lang w:eastAsia="en-PH"/>
        </w:rPr>
        <w:t>certiorari</w:t>
      </w:r>
      <w:r w:rsidRPr="00064896">
        <w:rPr>
          <w:rFonts w:ascii="Verdana" w:eastAsia="Times New Roman" w:hAnsi="Verdana" w:cs="Times New Roman"/>
          <w:color w:val="000000"/>
          <w:lang w:eastAsia="en-PH"/>
        </w:rPr>
        <w:t> targeted only the RTC's orders granting the </w:t>
      </w:r>
      <w:r w:rsidRPr="00064896">
        <w:rPr>
          <w:rFonts w:ascii="Verdana" w:eastAsia="Times New Roman" w:hAnsi="Verdana" w:cs="Times New Roman"/>
          <w:i/>
          <w:iCs/>
          <w:color w:val="000000"/>
          <w:lang w:eastAsia="en-PH"/>
        </w:rPr>
        <w:t>motion for partial summary judgment</w:t>
      </w:r>
      <w:r w:rsidRPr="00064896">
        <w:rPr>
          <w:rFonts w:ascii="Verdana" w:eastAsia="Times New Roman" w:hAnsi="Verdana" w:cs="Times New Roman"/>
          <w:color w:val="000000"/>
          <w:lang w:eastAsia="en-PH"/>
        </w:rPr>
        <w:t> and the </w:t>
      </w:r>
      <w:r w:rsidRPr="00064896">
        <w:rPr>
          <w:rFonts w:ascii="Verdana" w:eastAsia="Times New Roman" w:hAnsi="Verdana" w:cs="Times New Roman"/>
          <w:i/>
          <w:iCs/>
          <w:color w:val="000000"/>
          <w:lang w:eastAsia="en-PH"/>
        </w:rPr>
        <w:t>motion for immediate execution</w:t>
      </w:r>
      <w:r w:rsidRPr="00064896">
        <w:rPr>
          <w:rFonts w:ascii="Verdana" w:eastAsia="Times New Roman" w:hAnsi="Verdana" w:cs="Times New Roman"/>
          <w:color w:val="000000"/>
          <w:lang w:eastAsia="en-PH"/>
        </w:rPr>
        <w:t>, the CA's directive for the dismissal of Civil Case No. 01-086 was not an abuse of discretion, least of all grave, because such dismissal was the only proper thing to be done under the circumstances. According to </w:t>
      </w:r>
      <w:proofErr w:type="spellStart"/>
      <w:r w:rsidRPr="00064896">
        <w:rPr>
          <w:rFonts w:ascii="Verdana" w:eastAsia="Times New Roman" w:hAnsi="Verdana" w:cs="Times New Roman"/>
          <w:i/>
          <w:iCs/>
          <w:color w:val="000000"/>
          <w:lang w:eastAsia="en-PH"/>
        </w:rPr>
        <w:t>Surigao</w:t>
      </w:r>
      <w:proofErr w:type="spellEnd"/>
      <w:r w:rsidRPr="00064896">
        <w:rPr>
          <w:rFonts w:ascii="Verdana" w:eastAsia="Times New Roman" w:hAnsi="Verdana" w:cs="Times New Roman"/>
          <w:i/>
          <w:iCs/>
          <w:color w:val="000000"/>
          <w:lang w:eastAsia="en-PH"/>
        </w:rPr>
        <w:t xml:space="preserve"> Mine Exploration Co., Inc. v. Harris</w:t>
      </w:r>
      <w:r w:rsidRPr="00064896">
        <w:rPr>
          <w:rFonts w:ascii="Verdana" w:eastAsia="Times New Roman" w:hAnsi="Verdana" w:cs="Times New Roman"/>
          <w:color w:val="000000"/>
          <w:lang w:eastAsia="en-PH"/>
        </w:rPr>
        <w:t>:</w:t>
      </w:r>
      <w:r w:rsidR="009079D7" w:rsidRPr="009079D7">
        <w:rPr>
          <w:rFonts w:ascii="Verdana" w:eastAsia="Times New Roman" w:hAnsi="Verdana" w:cs="Times New Roman"/>
          <w:color w:val="FF0000"/>
          <w:vertAlign w:val="superscript"/>
          <w:lang w:eastAsia="en-PH"/>
        </w:rPr>
        <w:t xml:space="preserve"> </w:t>
      </w:r>
      <w:r w:rsidR="009079D7" w:rsidRPr="00064896">
        <w:rPr>
          <w:rFonts w:ascii="Verdana" w:eastAsia="Times New Roman" w:hAnsi="Verdana" w:cs="Times New Roman"/>
          <w:color w:val="FF0000"/>
          <w:vertAlign w:val="superscript"/>
          <w:lang w:eastAsia="en-PH"/>
        </w:rPr>
        <w:t>[</w:t>
      </w:r>
      <w:r w:rsidR="009079D7">
        <w:rPr>
          <w:rStyle w:val="FootnoteReference"/>
          <w:rFonts w:ascii="Verdana" w:eastAsia="Times New Roman" w:hAnsi="Verdana" w:cs="Times New Roman"/>
          <w:color w:val="FF0000"/>
          <w:lang w:eastAsia="en-PH"/>
        </w:rPr>
        <w:footnoteReference w:id="35"/>
      </w:r>
      <w:r w:rsidR="009079D7" w:rsidRPr="00064896">
        <w:rPr>
          <w:rFonts w:ascii="Verdana" w:eastAsia="Times New Roman" w:hAnsi="Verdana" w:cs="Times New Roman"/>
          <w:color w:val="FF0000"/>
          <w:vertAlign w:val="superscript"/>
          <w:lang w:eastAsia="en-PH"/>
        </w:rPr>
        <w:t>]</w:t>
      </w:r>
    </w:p>
    <w:p w:rsidR="00064896" w:rsidRPr="00064896" w:rsidRDefault="00064896" w:rsidP="009079D7">
      <w:pPr>
        <w:spacing w:after="0" w:line="240" w:lineRule="auto"/>
        <w:ind w:left="720"/>
        <w:rPr>
          <w:rFonts w:asciiTheme="majorHAnsi" w:eastAsia="Times New Roman" w:hAnsiTheme="majorHAnsi" w:cs="Times New Roman"/>
          <w:color w:val="000000"/>
          <w:lang w:eastAsia="en-PH"/>
        </w:rPr>
      </w:pPr>
      <w:r w:rsidRPr="00064896">
        <w:rPr>
          <w:rFonts w:asciiTheme="majorHAnsi" w:eastAsia="Times New Roman" w:hAnsiTheme="majorHAnsi" w:cs="Times New Roman"/>
          <w:color w:val="000000"/>
          <w:lang w:eastAsia="en-PH"/>
        </w:rPr>
        <w:t>Subject to certain qualification, and except as otherwise provided by law, </w:t>
      </w:r>
      <w:r w:rsidRPr="00064896">
        <w:rPr>
          <w:rFonts w:asciiTheme="majorHAnsi" w:eastAsia="Times New Roman" w:hAnsiTheme="majorHAnsi" w:cs="Times New Roman"/>
          <w:b/>
          <w:bCs/>
          <w:color w:val="000000"/>
          <w:lang w:eastAsia="en-PH"/>
        </w:rPr>
        <w:t>an action commenced before the cause of action has accrued is prematurely brought and should be dismissed</w:t>
      </w:r>
      <w:r w:rsidRPr="00064896">
        <w:rPr>
          <w:rFonts w:asciiTheme="majorHAnsi" w:eastAsia="Times New Roman" w:hAnsiTheme="majorHAnsi" w:cs="Times New Roman"/>
          <w:color w:val="000000"/>
          <w:lang w:eastAsia="en-PH"/>
        </w:rPr>
        <w:t>. The fact that the cause of action accrues after the action is commenced and while the case is pending is of no moment. It is a rule of law to which there is, perhaps no exception, either in law or in equity, that to recover at all there must be some cause of action at the commencement of the suit. There are reasons of public policy why there should be no needless haste in bringing up litigation, and why people who are in no default and against whom there is as yet no cause of action should not be summoned before the public tribunals to answer complaints which are groundless. An action prematurely brought is a groundless suit. </w:t>
      </w:r>
      <w:r w:rsidRPr="00064896">
        <w:rPr>
          <w:rFonts w:asciiTheme="majorHAnsi" w:eastAsia="Times New Roman" w:hAnsiTheme="majorHAnsi" w:cs="Times New Roman"/>
          <w:b/>
          <w:bCs/>
          <w:color w:val="000000"/>
          <w:lang w:eastAsia="en-PH"/>
        </w:rPr>
        <w:t>Unless the plaintiff has a valid and subsisting cause of action at the time his action is commenced, the defect cannot be cured or remedied by the acquisition or accrual of one while the action is pending</w:t>
      </w:r>
      <w:r w:rsidRPr="00064896">
        <w:rPr>
          <w:rFonts w:asciiTheme="majorHAnsi" w:eastAsia="Times New Roman" w:hAnsiTheme="majorHAnsi" w:cs="Times New Roman"/>
          <w:color w:val="000000"/>
          <w:lang w:eastAsia="en-PH"/>
        </w:rPr>
        <w:t>, and a supplemental complaint or an amendment setting up such after-accrued cause of action is not permissible.</w:t>
      </w:r>
    </w:p>
    <w:p w:rsidR="00064896" w:rsidRPr="00064896" w:rsidRDefault="00064896" w:rsidP="00C17E20">
      <w:pPr>
        <w:spacing w:after="240" w:line="240" w:lineRule="auto"/>
        <w:rPr>
          <w:rFonts w:ascii="Verdana" w:eastAsia="Times New Roman" w:hAnsi="Verdana" w:cs="Times New Roman"/>
          <w:color w:val="666666"/>
          <w:sz w:val="15"/>
          <w:szCs w:val="15"/>
          <w:lang w:eastAsia="en-PH"/>
        </w:rPr>
      </w:pPr>
      <w:r w:rsidRPr="00064896">
        <w:rPr>
          <w:rFonts w:ascii="Verdana" w:eastAsia="Times New Roman" w:hAnsi="Verdana" w:cs="Times New Roman"/>
          <w:color w:val="000000"/>
          <w:lang w:eastAsia="en-PH"/>
        </w:rPr>
        <w:br/>
        <w:t>Lastly, the petitioners argue that the respondent's recourse of a special action for </w:t>
      </w:r>
      <w:r w:rsidRPr="00064896">
        <w:rPr>
          <w:rFonts w:ascii="Verdana" w:eastAsia="Times New Roman" w:hAnsi="Verdana" w:cs="Times New Roman"/>
          <w:i/>
          <w:iCs/>
          <w:color w:val="000000"/>
          <w:lang w:eastAsia="en-PH"/>
        </w:rPr>
        <w:t>certiorari</w:t>
      </w:r>
      <w:r w:rsidRPr="00064896">
        <w:rPr>
          <w:rFonts w:ascii="Verdana" w:eastAsia="Times New Roman" w:hAnsi="Verdana" w:cs="Times New Roman"/>
          <w:color w:val="000000"/>
          <w:lang w:eastAsia="en-PH"/>
        </w:rPr>
        <w:t> was the wrong remedy</w:t>
      </w:r>
      <w:r w:rsidRPr="00064896">
        <w:rPr>
          <w:rFonts w:ascii="Verdana" w:eastAsia="Times New Roman" w:hAnsi="Verdana" w:cs="Times New Roman"/>
          <w:i/>
          <w:iCs/>
          <w:color w:val="000000"/>
          <w:lang w:eastAsia="en-PH"/>
        </w:rPr>
        <w:t>,</w:t>
      </w:r>
      <w:r w:rsidRPr="00064896">
        <w:rPr>
          <w:rFonts w:ascii="Verdana" w:eastAsia="Times New Roman" w:hAnsi="Verdana" w:cs="Times New Roman"/>
          <w:color w:val="000000"/>
          <w:lang w:eastAsia="en-PH"/>
        </w:rPr>
        <w:t> in view of the fact that the granting of the </w:t>
      </w:r>
      <w:r w:rsidRPr="00064896">
        <w:rPr>
          <w:rFonts w:ascii="Verdana" w:eastAsia="Times New Roman" w:hAnsi="Verdana" w:cs="Times New Roman"/>
          <w:i/>
          <w:iCs/>
          <w:color w:val="000000"/>
          <w:lang w:eastAsia="en-PH"/>
        </w:rPr>
        <w:t>motion for partial summary judgment</w:t>
      </w:r>
      <w:r w:rsidRPr="00064896">
        <w:rPr>
          <w:rFonts w:ascii="Verdana" w:eastAsia="Times New Roman" w:hAnsi="Verdana" w:cs="Times New Roman"/>
          <w:color w:val="000000"/>
          <w:lang w:eastAsia="en-PH"/>
        </w:rPr>
        <w:t> constituted only an error of law correctible by appeal, not of jurisdiction.</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The argument of the petitioners is baseless. The RTC was guilty of an error of jurisdiction, for it exceeded its jurisdiction by taking cognizance of the complaint that was not based on an existing cause of action.</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r>
      <w:r w:rsidRPr="00064896">
        <w:rPr>
          <w:rFonts w:ascii="Verdana" w:eastAsia="Times New Roman" w:hAnsi="Verdana" w:cs="Times New Roman"/>
          <w:b/>
          <w:bCs/>
          <w:color w:val="000000"/>
          <w:lang w:eastAsia="en-PH"/>
        </w:rPr>
        <w:t>WHEREFORE</w:t>
      </w:r>
      <w:r w:rsidRPr="00064896">
        <w:rPr>
          <w:rFonts w:ascii="Verdana" w:eastAsia="Times New Roman" w:hAnsi="Verdana" w:cs="Times New Roman"/>
          <w:color w:val="000000"/>
          <w:lang w:eastAsia="en-PH"/>
        </w:rPr>
        <w:t>, the petition for review on </w:t>
      </w:r>
      <w:r w:rsidRPr="00064896">
        <w:rPr>
          <w:rFonts w:ascii="Verdana" w:eastAsia="Times New Roman" w:hAnsi="Verdana" w:cs="Times New Roman"/>
          <w:i/>
          <w:iCs/>
          <w:color w:val="000000"/>
          <w:lang w:eastAsia="en-PH"/>
        </w:rPr>
        <w:t>certiorari</w:t>
      </w:r>
      <w:r w:rsidRPr="00064896">
        <w:rPr>
          <w:rFonts w:ascii="Verdana" w:eastAsia="Times New Roman" w:hAnsi="Verdana" w:cs="Times New Roman"/>
          <w:color w:val="000000"/>
          <w:lang w:eastAsia="en-PH"/>
        </w:rPr>
        <w:t> is denied for lack of merit.</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t>We affirm the decision promulgated on March 4, 2003 in C.A.-G.R. SP No. 74156 entitled </w:t>
      </w:r>
      <w:r w:rsidRPr="00064896">
        <w:rPr>
          <w:rFonts w:ascii="Verdana" w:eastAsia="Times New Roman" w:hAnsi="Verdana" w:cs="Times New Roman"/>
          <w:i/>
          <w:iCs/>
          <w:color w:val="000000"/>
          <w:lang w:eastAsia="en-PH"/>
        </w:rPr>
        <w:t xml:space="preserve">Lorenzo Shipping Corporation v. Hon. </w:t>
      </w:r>
      <w:proofErr w:type="spellStart"/>
      <w:r w:rsidRPr="00064896">
        <w:rPr>
          <w:rFonts w:ascii="Verdana" w:eastAsia="Times New Roman" w:hAnsi="Verdana" w:cs="Times New Roman"/>
          <w:i/>
          <w:iCs/>
          <w:color w:val="000000"/>
          <w:lang w:eastAsia="en-PH"/>
        </w:rPr>
        <w:t>Artemio</w:t>
      </w:r>
      <w:proofErr w:type="spellEnd"/>
      <w:r w:rsidRPr="00064896">
        <w:rPr>
          <w:rFonts w:ascii="Verdana" w:eastAsia="Times New Roman" w:hAnsi="Verdana" w:cs="Times New Roman"/>
          <w:i/>
          <w:iCs/>
          <w:color w:val="000000"/>
          <w:lang w:eastAsia="en-PH"/>
        </w:rPr>
        <w:t xml:space="preserve"> S. </w:t>
      </w:r>
      <w:proofErr w:type="spellStart"/>
      <w:r w:rsidRPr="00064896">
        <w:rPr>
          <w:rFonts w:ascii="Verdana" w:eastAsia="Times New Roman" w:hAnsi="Verdana" w:cs="Times New Roman"/>
          <w:i/>
          <w:iCs/>
          <w:color w:val="000000"/>
          <w:lang w:eastAsia="en-PH"/>
        </w:rPr>
        <w:t>Tipon</w:t>
      </w:r>
      <w:proofErr w:type="spellEnd"/>
      <w:r w:rsidRPr="00064896">
        <w:rPr>
          <w:rFonts w:ascii="Verdana" w:eastAsia="Times New Roman" w:hAnsi="Verdana" w:cs="Times New Roman"/>
          <w:i/>
          <w:iCs/>
          <w:color w:val="000000"/>
          <w:lang w:eastAsia="en-PH"/>
        </w:rPr>
        <w:t>, in his capacity as Presiding Judge of Branch 46 of the Regional Trial Court of Manila, et al</w:t>
      </w:r>
      <w:r w:rsidRPr="00064896">
        <w:rPr>
          <w:rFonts w:ascii="Verdana" w:eastAsia="Times New Roman" w:hAnsi="Verdana" w:cs="Times New Roman"/>
          <w:b/>
          <w:bCs/>
          <w:color w:val="000000"/>
          <w:lang w:eastAsia="en-PH"/>
        </w:rPr>
        <w:t>.</w:t>
      </w:r>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r>
      <w:proofErr w:type="gramStart"/>
      <w:r w:rsidRPr="00064896">
        <w:rPr>
          <w:rFonts w:ascii="Verdana" w:eastAsia="Times New Roman" w:hAnsi="Verdana" w:cs="Times New Roman"/>
          <w:color w:val="000000"/>
          <w:lang w:eastAsia="en-PH"/>
        </w:rPr>
        <w:t>Costs of suit to be paid by the petitioners.</w:t>
      </w:r>
      <w:proofErr w:type="gramEnd"/>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r>
      <w:proofErr w:type="gramStart"/>
      <w:r w:rsidRPr="00064896">
        <w:rPr>
          <w:rFonts w:ascii="Verdana" w:eastAsia="Times New Roman" w:hAnsi="Verdana" w:cs="Times New Roman"/>
          <w:b/>
          <w:bCs/>
          <w:color w:val="000000"/>
          <w:lang w:eastAsia="en-PH"/>
        </w:rPr>
        <w:t>SO ORDERED.</w:t>
      </w:r>
      <w:proofErr w:type="gramEnd"/>
      <w:r w:rsidRPr="00064896">
        <w:rPr>
          <w:rFonts w:ascii="Verdana" w:eastAsia="Times New Roman" w:hAnsi="Verdana" w:cs="Times New Roman"/>
          <w:color w:val="000000"/>
          <w:lang w:eastAsia="en-PH"/>
        </w:rPr>
        <w:br/>
      </w:r>
      <w:r w:rsidRPr="00064896">
        <w:rPr>
          <w:rFonts w:ascii="Verdana" w:eastAsia="Times New Roman" w:hAnsi="Verdana" w:cs="Times New Roman"/>
          <w:color w:val="000000"/>
          <w:lang w:eastAsia="en-PH"/>
        </w:rPr>
        <w:br/>
      </w:r>
      <w:proofErr w:type="spellStart"/>
      <w:r w:rsidRPr="00064896">
        <w:rPr>
          <w:rFonts w:ascii="Verdana" w:eastAsia="Times New Roman" w:hAnsi="Verdana" w:cs="Times New Roman"/>
          <w:i/>
          <w:iCs/>
          <w:color w:val="000000"/>
          <w:lang w:eastAsia="en-PH"/>
        </w:rPr>
        <w:t>Carpio</w:t>
      </w:r>
      <w:proofErr w:type="spellEnd"/>
      <w:r w:rsidRPr="00064896">
        <w:rPr>
          <w:rFonts w:ascii="Verdana" w:eastAsia="Times New Roman" w:hAnsi="Verdana" w:cs="Times New Roman"/>
          <w:i/>
          <w:iCs/>
          <w:color w:val="000000"/>
          <w:lang w:eastAsia="en-PH"/>
        </w:rPr>
        <w:t xml:space="preserve"> Morales, (Chairperson), </w:t>
      </w:r>
      <w:proofErr w:type="spellStart"/>
      <w:r w:rsidRPr="00064896">
        <w:rPr>
          <w:rFonts w:ascii="Verdana" w:eastAsia="Times New Roman" w:hAnsi="Verdana" w:cs="Times New Roman"/>
          <w:i/>
          <w:iCs/>
          <w:color w:val="000000"/>
          <w:lang w:eastAsia="en-PH"/>
        </w:rPr>
        <w:t>Brion</w:t>
      </w:r>
      <w:proofErr w:type="spellEnd"/>
      <w:r w:rsidRPr="00064896">
        <w:rPr>
          <w:rFonts w:ascii="Verdana" w:eastAsia="Times New Roman" w:hAnsi="Verdana" w:cs="Times New Roman"/>
          <w:i/>
          <w:iCs/>
          <w:color w:val="000000"/>
          <w:lang w:eastAsia="en-PH"/>
        </w:rPr>
        <w:t xml:space="preserve">, </w:t>
      </w:r>
      <w:proofErr w:type="spellStart"/>
      <w:r w:rsidRPr="00064896">
        <w:rPr>
          <w:rFonts w:ascii="Verdana" w:eastAsia="Times New Roman" w:hAnsi="Verdana" w:cs="Times New Roman"/>
          <w:i/>
          <w:iCs/>
          <w:color w:val="000000"/>
          <w:lang w:eastAsia="en-PH"/>
        </w:rPr>
        <w:t>Villarama</w:t>
      </w:r>
      <w:proofErr w:type="spellEnd"/>
      <w:r w:rsidRPr="00064896">
        <w:rPr>
          <w:rFonts w:ascii="Verdana" w:eastAsia="Times New Roman" w:hAnsi="Verdana" w:cs="Times New Roman"/>
          <w:i/>
          <w:iCs/>
          <w:color w:val="000000"/>
          <w:lang w:eastAsia="en-PH"/>
        </w:rPr>
        <w:t>, Jr., </w:t>
      </w:r>
      <w:r w:rsidRPr="00064896">
        <w:rPr>
          <w:rFonts w:ascii="Verdana" w:eastAsia="Times New Roman" w:hAnsi="Verdana" w:cs="Times New Roman"/>
          <w:color w:val="000000"/>
          <w:lang w:eastAsia="en-PH"/>
        </w:rPr>
        <w:t>and</w:t>
      </w:r>
      <w:r w:rsidRPr="00064896">
        <w:rPr>
          <w:rFonts w:ascii="Verdana" w:eastAsia="Times New Roman" w:hAnsi="Verdana" w:cs="Times New Roman"/>
          <w:i/>
          <w:iCs/>
          <w:color w:val="000000"/>
          <w:lang w:eastAsia="en-PH"/>
        </w:rPr>
        <w:t> </w:t>
      </w:r>
      <w:proofErr w:type="spellStart"/>
      <w:r w:rsidRPr="00064896">
        <w:rPr>
          <w:rFonts w:ascii="Verdana" w:eastAsia="Times New Roman" w:hAnsi="Verdana" w:cs="Times New Roman"/>
          <w:i/>
          <w:iCs/>
          <w:color w:val="000000"/>
          <w:lang w:eastAsia="en-PH"/>
        </w:rPr>
        <w:t>Aranal-Sereno</w:t>
      </w:r>
      <w:proofErr w:type="spellEnd"/>
      <w:r w:rsidRPr="00064896">
        <w:rPr>
          <w:rFonts w:ascii="Verdana" w:eastAsia="Times New Roman" w:hAnsi="Verdana" w:cs="Times New Roman"/>
          <w:i/>
          <w:iCs/>
          <w:color w:val="000000"/>
          <w:lang w:eastAsia="en-PH"/>
        </w:rPr>
        <w:t xml:space="preserve">, </w:t>
      </w:r>
      <w:proofErr w:type="gramStart"/>
      <w:r w:rsidRPr="00064896">
        <w:rPr>
          <w:rFonts w:ascii="Verdana" w:eastAsia="Times New Roman" w:hAnsi="Verdana" w:cs="Times New Roman"/>
          <w:i/>
          <w:iCs/>
          <w:color w:val="000000"/>
          <w:lang w:eastAsia="en-PH"/>
        </w:rPr>
        <w:t>JJ.</w:t>
      </w:r>
      <w:r w:rsidRPr="00064896">
        <w:rPr>
          <w:rFonts w:ascii="Verdana" w:eastAsia="Times New Roman" w:hAnsi="Verdana" w:cs="Times New Roman"/>
          <w:color w:val="000000"/>
          <w:lang w:eastAsia="en-PH"/>
        </w:rPr>
        <w:t>,</w:t>
      </w:r>
      <w:proofErr w:type="gramEnd"/>
      <w:r w:rsidRPr="00064896">
        <w:rPr>
          <w:rFonts w:ascii="Verdana" w:eastAsia="Times New Roman" w:hAnsi="Verdana" w:cs="Times New Roman"/>
          <w:color w:val="000000"/>
          <w:lang w:eastAsia="en-PH"/>
        </w:rPr>
        <w:t xml:space="preserve"> concur.</w:t>
      </w:r>
      <w:r w:rsidRPr="00064896">
        <w:rPr>
          <w:rFonts w:ascii="Verdana" w:eastAsia="Times New Roman" w:hAnsi="Verdana" w:cs="Times New Roman"/>
          <w:color w:val="000000"/>
          <w:lang w:eastAsia="en-PH"/>
        </w:rPr>
        <w:br/>
      </w:r>
    </w:p>
    <w:sectPr w:rsidR="00064896" w:rsidRPr="00064896" w:rsidSect="009079D7">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10B08" w:rsidRDefault="00B10B08" w:rsidP="009079D7">
      <w:pPr>
        <w:spacing w:after="0" w:line="240" w:lineRule="auto"/>
      </w:pPr>
      <w:r>
        <w:separator/>
      </w:r>
    </w:p>
  </w:endnote>
  <w:endnote w:type="continuationSeparator" w:id="0">
    <w:p w:rsidR="00B10B08" w:rsidRDefault="00B10B08" w:rsidP="009079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10B08" w:rsidRDefault="00B10B08" w:rsidP="009079D7">
      <w:pPr>
        <w:spacing w:after="0" w:line="240" w:lineRule="auto"/>
      </w:pPr>
      <w:r>
        <w:separator/>
      </w:r>
    </w:p>
  </w:footnote>
  <w:footnote w:type="continuationSeparator" w:id="0">
    <w:p w:rsidR="00B10B08" w:rsidRDefault="00B10B08" w:rsidP="009079D7">
      <w:pPr>
        <w:spacing w:after="0" w:line="240" w:lineRule="auto"/>
      </w:pPr>
      <w:r>
        <w:continuationSeparator/>
      </w:r>
    </w:p>
  </w:footnote>
  <w:footnote w:id="1">
    <w:p w:rsidR="009079D7" w:rsidRDefault="009079D7">
      <w:pPr>
        <w:pStyle w:val="FootnoteText"/>
      </w:pPr>
      <w:r w:rsidRPr="009079D7">
        <w:rPr>
          <w:rStyle w:val="FootnoteReference"/>
          <w:color w:val="FF0000"/>
        </w:rPr>
        <w:footnoteRef/>
      </w:r>
      <w:r>
        <w:t xml:space="preserve"> </w:t>
      </w:r>
      <w:r w:rsidR="00C17E20" w:rsidRPr="00C17E20">
        <w:t xml:space="preserve">Rollo, pp. 20-35; penned by Associate Justice Portia </w:t>
      </w:r>
      <w:proofErr w:type="spellStart"/>
      <w:r w:rsidR="00C17E20" w:rsidRPr="00C17E20">
        <w:t>Aliño-Hormachuelos</w:t>
      </w:r>
      <w:proofErr w:type="spellEnd"/>
      <w:r w:rsidR="00C17E20" w:rsidRPr="00C17E20">
        <w:t xml:space="preserve">, with Associate Justice Jose L. </w:t>
      </w:r>
      <w:proofErr w:type="spellStart"/>
      <w:r w:rsidR="00C17E20" w:rsidRPr="00C17E20">
        <w:t>Sabio</w:t>
      </w:r>
      <w:proofErr w:type="spellEnd"/>
      <w:r w:rsidR="00C17E20" w:rsidRPr="00C17E20">
        <w:t xml:space="preserve">, Jr. (retired) and Associate Justice </w:t>
      </w:r>
      <w:proofErr w:type="spellStart"/>
      <w:r w:rsidR="00C17E20" w:rsidRPr="00C17E20">
        <w:t>Amelita</w:t>
      </w:r>
      <w:proofErr w:type="spellEnd"/>
      <w:r w:rsidR="00C17E20" w:rsidRPr="00C17E20">
        <w:t xml:space="preserve"> G. </w:t>
      </w:r>
      <w:proofErr w:type="spellStart"/>
      <w:r w:rsidR="00C17E20" w:rsidRPr="00C17E20">
        <w:t>Tolentino</w:t>
      </w:r>
      <w:proofErr w:type="spellEnd"/>
      <w:r w:rsidR="00C17E20" w:rsidRPr="00C17E20">
        <w:t xml:space="preserve"> concurring.</w:t>
      </w:r>
    </w:p>
  </w:footnote>
  <w:footnote w:id="2">
    <w:p w:rsidR="009079D7" w:rsidRDefault="009079D7" w:rsidP="009079D7">
      <w:pPr>
        <w:pStyle w:val="FootnoteText"/>
      </w:pPr>
      <w:r w:rsidRPr="009079D7">
        <w:rPr>
          <w:rStyle w:val="FootnoteReference"/>
          <w:color w:val="FF0000"/>
        </w:rPr>
        <w:footnoteRef/>
      </w:r>
      <w:r>
        <w:t xml:space="preserve"> </w:t>
      </w:r>
      <w:proofErr w:type="gramStart"/>
      <w:r w:rsidR="00C17E20" w:rsidRPr="00C17E20">
        <w:t>Id., p.127.</w:t>
      </w:r>
      <w:proofErr w:type="gramEnd"/>
    </w:p>
  </w:footnote>
  <w:footnote w:id="3">
    <w:p w:rsidR="009079D7" w:rsidRDefault="009079D7" w:rsidP="009079D7">
      <w:pPr>
        <w:pStyle w:val="FootnoteText"/>
      </w:pPr>
      <w:r w:rsidRPr="009079D7">
        <w:rPr>
          <w:rStyle w:val="FootnoteReference"/>
          <w:color w:val="FF0000"/>
        </w:rPr>
        <w:footnoteRef/>
      </w:r>
      <w:r>
        <w:t xml:space="preserve"> </w:t>
      </w:r>
      <w:proofErr w:type="gramStart"/>
      <w:r w:rsidR="00C17E20" w:rsidRPr="00C17E20">
        <w:t>Id., p.100.</w:t>
      </w:r>
      <w:proofErr w:type="gramEnd"/>
    </w:p>
  </w:footnote>
  <w:footnote w:id="4">
    <w:p w:rsidR="009079D7" w:rsidRDefault="009079D7" w:rsidP="009079D7">
      <w:pPr>
        <w:pStyle w:val="FootnoteText"/>
      </w:pPr>
      <w:r w:rsidRPr="009079D7">
        <w:rPr>
          <w:rStyle w:val="FootnoteReference"/>
          <w:color w:val="FF0000"/>
        </w:rPr>
        <w:footnoteRef/>
      </w:r>
      <w:r>
        <w:t xml:space="preserve"> </w:t>
      </w:r>
      <w:r w:rsidR="00C17E20" w:rsidRPr="00C17E20">
        <w:t xml:space="preserve">Id., </w:t>
      </w:r>
      <w:proofErr w:type="spellStart"/>
      <w:r w:rsidR="00C17E20" w:rsidRPr="00C17E20">
        <w:t>pp</w:t>
      </w:r>
      <w:proofErr w:type="spellEnd"/>
      <w:r w:rsidR="00C17E20" w:rsidRPr="00C17E20">
        <w:t xml:space="preserve"> 118-119.</w:t>
      </w:r>
    </w:p>
  </w:footnote>
  <w:footnote w:id="5">
    <w:p w:rsidR="009079D7" w:rsidRDefault="009079D7" w:rsidP="009079D7">
      <w:pPr>
        <w:pStyle w:val="FootnoteText"/>
      </w:pPr>
      <w:r w:rsidRPr="009079D7">
        <w:rPr>
          <w:rStyle w:val="FootnoteReference"/>
          <w:color w:val="FF0000"/>
        </w:rPr>
        <w:footnoteRef/>
      </w:r>
      <w:r>
        <w:t xml:space="preserve"> </w:t>
      </w:r>
      <w:r w:rsidR="00C17E20" w:rsidRPr="00C17E20">
        <w:t>Id., p. 120-124.</w:t>
      </w:r>
    </w:p>
  </w:footnote>
  <w:footnote w:id="6">
    <w:p w:rsidR="009079D7" w:rsidRDefault="009079D7" w:rsidP="009079D7">
      <w:pPr>
        <w:pStyle w:val="FootnoteText"/>
      </w:pPr>
      <w:r w:rsidRPr="009079D7">
        <w:rPr>
          <w:rStyle w:val="FootnoteReference"/>
          <w:color w:val="FF0000"/>
        </w:rPr>
        <w:footnoteRef/>
      </w:r>
      <w:r>
        <w:t xml:space="preserve"> </w:t>
      </w:r>
      <w:r w:rsidR="00C17E20" w:rsidRPr="00C17E20">
        <w:t xml:space="preserve">Id., </w:t>
      </w:r>
      <w:proofErr w:type="spellStart"/>
      <w:r w:rsidR="00C17E20" w:rsidRPr="00C17E20">
        <w:t>pp</w:t>
      </w:r>
      <w:proofErr w:type="spellEnd"/>
      <w:r w:rsidR="00C17E20" w:rsidRPr="00C17E20">
        <w:t xml:space="preserve"> 151-152.</w:t>
      </w:r>
    </w:p>
  </w:footnote>
  <w:footnote w:id="7">
    <w:p w:rsidR="009079D7" w:rsidRDefault="009079D7" w:rsidP="009079D7">
      <w:pPr>
        <w:pStyle w:val="FootnoteText"/>
      </w:pPr>
      <w:r w:rsidRPr="009079D7">
        <w:rPr>
          <w:rStyle w:val="FootnoteReference"/>
          <w:color w:val="FF0000"/>
        </w:rPr>
        <w:footnoteRef/>
      </w:r>
      <w:r>
        <w:t xml:space="preserve"> </w:t>
      </w:r>
      <w:proofErr w:type="gramStart"/>
      <w:r w:rsidR="00C17E20" w:rsidRPr="00C17E20">
        <w:t>Already retired.</w:t>
      </w:r>
      <w:proofErr w:type="gramEnd"/>
    </w:p>
  </w:footnote>
  <w:footnote w:id="8">
    <w:p w:rsidR="009079D7" w:rsidRDefault="009079D7" w:rsidP="009079D7">
      <w:pPr>
        <w:pStyle w:val="FootnoteText"/>
      </w:pPr>
      <w:r w:rsidRPr="009079D7">
        <w:rPr>
          <w:rStyle w:val="FootnoteReference"/>
          <w:color w:val="FF0000"/>
        </w:rPr>
        <w:footnoteRef/>
      </w:r>
      <w:r>
        <w:t xml:space="preserve"> </w:t>
      </w:r>
      <w:r w:rsidR="00C17E20" w:rsidRPr="00C17E20">
        <w:t>Rollo, pp. 91-93.</w:t>
      </w:r>
    </w:p>
  </w:footnote>
  <w:footnote w:id="9">
    <w:p w:rsidR="009079D7" w:rsidRDefault="009079D7" w:rsidP="009079D7">
      <w:pPr>
        <w:pStyle w:val="FootnoteText"/>
      </w:pPr>
      <w:r w:rsidRPr="009079D7">
        <w:rPr>
          <w:rStyle w:val="FootnoteReference"/>
          <w:color w:val="FF0000"/>
        </w:rPr>
        <w:footnoteRef/>
      </w:r>
      <w:r>
        <w:t xml:space="preserve"> </w:t>
      </w:r>
      <w:r w:rsidR="00C17E20" w:rsidRPr="00C17E20">
        <w:t>Id., p. 92.</w:t>
      </w:r>
    </w:p>
  </w:footnote>
  <w:footnote w:id="10">
    <w:p w:rsidR="009079D7" w:rsidRDefault="009079D7" w:rsidP="009079D7">
      <w:pPr>
        <w:pStyle w:val="FootnoteText"/>
      </w:pPr>
      <w:r w:rsidRPr="009079D7">
        <w:rPr>
          <w:rStyle w:val="FootnoteReference"/>
          <w:color w:val="FF0000"/>
        </w:rPr>
        <w:footnoteRef/>
      </w:r>
      <w:r>
        <w:t xml:space="preserve"> </w:t>
      </w:r>
      <w:r w:rsidR="00C17E20" w:rsidRPr="00C17E20">
        <w:t>Id., pp. 94-96.</w:t>
      </w:r>
    </w:p>
  </w:footnote>
  <w:footnote w:id="11">
    <w:p w:rsidR="009079D7" w:rsidRDefault="009079D7" w:rsidP="009079D7">
      <w:pPr>
        <w:pStyle w:val="FootnoteText"/>
      </w:pPr>
      <w:r w:rsidRPr="009079D7">
        <w:rPr>
          <w:rStyle w:val="FootnoteReference"/>
          <w:color w:val="FF0000"/>
        </w:rPr>
        <w:footnoteRef/>
      </w:r>
      <w:r>
        <w:t xml:space="preserve"> </w:t>
      </w:r>
      <w:r w:rsidR="00C17E20" w:rsidRPr="00C17E20">
        <w:t>Id., p. 97.</w:t>
      </w:r>
    </w:p>
  </w:footnote>
  <w:footnote w:id="12">
    <w:p w:rsidR="009079D7" w:rsidRDefault="009079D7" w:rsidP="009079D7">
      <w:pPr>
        <w:pStyle w:val="FootnoteText"/>
      </w:pPr>
      <w:r w:rsidRPr="009079D7">
        <w:rPr>
          <w:rStyle w:val="FootnoteReference"/>
          <w:color w:val="FF0000"/>
        </w:rPr>
        <w:footnoteRef/>
      </w:r>
      <w:r>
        <w:t xml:space="preserve"> </w:t>
      </w:r>
      <w:r w:rsidR="00C17E20" w:rsidRPr="00C17E20">
        <w:t>Id., pp. 20-35.</w:t>
      </w:r>
    </w:p>
  </w:footnote>
  <w:footnote w:id="13">
    <w:p w:rsidR="009079D7" w:rsidRDefault="009079D7" w:rsidP="009079D7">
      <w:pPr>
        <w:pStyle w:val="FootnoteText"/>
      </w:pPr>
      <w:r w:rsidRPr="009079D7">
        <w:rPr>
          <w:rStyle w:val="FootnoteReference"/>
          <w:color w:val="FF0000"/>
        </w:rPr>
        <w:footnoteRef/>
      </w:r>
      <w:r>
        <w:t xml:space="preserve"> </w:t>
      </w:r>
      <w:r w:rsidR="00C17E20" w:rsidRPr="00C17E20">
        <w:t>18 CJS, Corporations, §314, pp. 641-642.</w:t>
      </w:r>
    </w:p>
  </w:footnote>
  <w:footnote w:id="14">
    <w:p w:rsidR="009079D7" w:rsidRDefault="009079D7" w:rsidP="009079D7">
      <w:pPr>
        <w:pStyle w:val="FootnoteText"/>
      </w:pPr>
      <w:r w:rsidRPr="009079D7">
        <w:rPr>
          <w:rStyle w:val="FootnoteReference"/>
          <w:color w:val="FF0000"/>
        </w:rPr>
        <w:footnoteRef/>
      </w:r>
      <w:r>
        <w:t xml:space="preserve"> </w:t>
      </w:r>
      <w:r w:rsidR="00C17E20" w:rsidRPr="00C17E20">
        <w:t>Ibid.</w:t>
      </w:r>
    </w:p>
  </w:footnote>
  <w:footnote w:id="15">
    <w:p w:rsidR="009079D7" w:rsidRDefault="009079D7" w:rsidP="009079D7">
      <w:pPr>
        <w:pStyle w:val="FootnoteText"/>
      </w:pPr>
      <w:r w:rsidRPr="009079D7">
        <w:rPr>
          <w:rStyle w:val="FootnoteReference"/>
          <w:color w:val="FF0000"/>
        </w:rPr>
        <w:footnoteRef/>
      </w:r>
      <w:r>
        <w:t xml:space="preserve"> </w:t>
      </w:r>
      <w:r w:rsidR="00C17E20" w:rsidRPr="00C17E20">
        <w:t>Ballantine, Law of Corporations, Revised Edition, Callaghan and Co., Chicago, 1946, p. 603.</w:t>
      </w:r>
    </w:p>
  </w:footnote>
  <w:footnote w:id="16">
    <w:p w:rsidR="009079D7" w:rsidRDefault="009079D7" w:rsidP="009079D7">
      <w:pPr>
        <w:pStyle w:val="FootnoteText"/>
      </w:pPr>
      <w:r w:rsidRPr="009079D7">
        <w:rPr>
          <w:rStyle w:val="FootnoteReference"/>
          <w:color w:val="FF0000"/>
        </w:rPr>
        <w:footnoteRef/>
      </w:r>
      <w:r>
        <w:t xml:space="preserve"> </w:t>
      </w:r>
      <w:r w:rsidR="00C17E20" w:rsidRPr="00C17E20">
        <w:t>Id., p. 604.</w:t>
      </w:r>
    </w:p>
  </w:footnote>
  <w:footnote w:id="17">
    <w:p w:rsidR="009079D7" w:rsidRDefault="009079D7" w:rsidP="009079D7">
      <w:pPr>
        <w:pStyle w:val="FootnoteText"/>
      </w:pPr>
      <w:r w:rsidRPr="009079D7">
        <w:rPr>
          <w:rStyle w:val="FootnoteReference"/>
          <w:color w:val="FF0000"/>
        </w:rPr>
        <w:footnoteRef/>
      </w:r>
      <w:r>
        <w:t xml:space="preserve"> </w:t>
      </w:r>
      <w:r w:rsidR="00C17E20" w:rsidRPr="00C17E20">
        <w:t>Id., p. 605.</w:t>
      </w:r>
    </w:p>
  </w:footnote>
  <w:footnote w:id="18">
    <w:p w:rsidR="009079D7" w:rsidRDefault="009079D7" w:rsidP="009079D7">
      <w:pPr>
        <w:pStyle w:val="FootnoteText"/>
      </w:pPr>
      <w:r w:rsidRPr="009079D7">
        <w:rPr>
          <w:rStyle w:val="FootnoteReference"/>
          <w:color w:val="FF0000"/>
        </w:rPr>
        <w:footnoteRef/>
      </w:r>
      <w:r>
        <w:t xml:space="preserve"> </w:t>
      </w:r>
      <w:r w:rsidR="00C17E20" w:rsidRPr="00C17E20">
        <w:t xml:space="preserve">II Campos Jr., </w:t>
      </w:r>
      <w:proofErr w:type="gramStart"/>
      <w:r w:rsidR="00C17E20" w:rsidRPr="00C17E20">
        <w:t>The</w:t>
      </w:r>
      <w:proofErr w:type="gramEnd"/>
      <w:r w:rsidR="00C17E20" w:rsidRPr="00C17E20">
        <w:t xml:space="preserve"> Corporation Code, Comments, Notes and Selected Cases (1990).</w:t>
      </w:r>
    </w:p>
  </w:footnote>
  <w:footnote w:id="19">
    <w:p w:rsidR="009079D7" w:rsidRDefault="009079D7" w:rsidP="009079D7">
      <w:pPr>
        <w:pStyle w:val="FootnoteText"/>
      </w:pPr>
      <w:r w:rsidRPr="009079D7">
        <w:rPr>
          <w:rStyle w:val="FootnoteReference"/>
          <w:color w:val="FF0000"/>
        </w:rPr>
        <w:footnoteRef/>
      </w:r>
      <w:r>
        <w:t xml:space="preserve"> </w:t>
      </w:r>
      <w:proofErr w:type="gramStart"/>
      <w:r w:rsidRPr="009079D7">
        <w:t>Section 82, Corporation Code.</w:t>
      </w:r>
      <w:proofErr w:type="gramEnd"/>
    </w:p>
  </w:footnote>
  <w:footnote w:id="20">
    <w:p w:rsidR="009079D7" w:rsidRDefault="009079D7" w:rsidP="009079D7">
      <w:pPr>
        <w:pStyle w:val="FootnoteText"/>
      </w:pPr>
      <w:r w:rsidRPr="009079D7">
        <w:rPr>
          <w:rStyle w:val="FootnoteReference"/>
          <w:color w:val="FF0000"/>
        </w:rPr>
        <w:footnoteRef/>
      </w:r>
      <w:r>
        <w:t xml:space="preserve"> </w:t>
      </w:r>
      <w:r w:rsidRPr="009079D7">
        <w:t>Ibid.</w:t>
      </w:r>
    </w:p>
  </w:footnote>
  <w:footnote w:id="21">
    <w:p w:rsidR="009079D7" w:rsidRDefault="009079D7" w:rsidP="009079D7">
      <w:pPr>
        <w:pStyle w:val="FootnoteText"/>
      </w:pPr>
      <w:r w:rsidRPr="009079D7">
        <w:rPr>
          <w:rStyle w:val="FootnoteReference"/>
          <w:color w:val="FF0000"/>
        </w:rPr>
        <w:footnoteRef/>
      </w:r>
      <w:r>
        <w:t xml:space="preserve"> </w:t>
      </w:r>
      <w:r w:rsidRPr="009079D7">
        <w:t>Id., Section 83.</w:t>
      </w:r>
    </w:p>
  </w:footnote>
  <w:footnote w:id="22">
    <w:p w:rsidR="009079D7" w:rsidRDefault="009079D7" w:rsidP="009079D7">
      <w:pPr>
        <w:pStyle w:val="FootnoteText"/>
      </w:pPr>
      <w:r w:rsidRPr="009079D7">
        <w:rPr>
          <w:rStyle w:val="FootnoteReference"/>
          <w:color w:val="FF0000"/>
        </w:rPr>
        <w:footnoteRef/>
      </w:r>
      <w:r>
        <w:t xml:space="preserve"> </w:t>
      </w:r>
      <w:r w:rsidRPr="009079D7">
        <w:t>Id., Section 86.</w:t>
      </w:r>
    </w:p>
  </w:footnote>
  <w:footnote w:id="23">
    <w:p w:rsidR="009079D7" w:rsidRDefault="009079D7" w:rsidP="009079D7">
      <w:pPr>
        <w:pStyle w:val="FootnoteText"/>
      </w:pPr>
      <w:r w:rsidRPr="009079D7">
        <w:rPr>
          <w:rStyle w:val="FootnoteReference"/>
          <w:color w:val="FF0000"/>
        </w:rPr>
        <w:footnoteRef/>
      </w:r>
      <w:r>
        <w:t xml:space="preserve"> </w:t>
      </w:r>
      <w:r w:rsidRPr="009079D7">
        <w:t>Id., Section 82.</w:t>
      </w:r>
    </w:p>
  </w:footnote>
  <w:footnote w:id="24">
    <w:p w:rsidR="009079D7" w:rsidRDefault="009079D7" w:rsidP="009079D7">
      <w:pPr>
        <w:pStyle w:val="FootnoteText"/>
      </w:pPr>
      <w:r w:rsidRPr="009079D7">
        <w:rPr>
          <w:rStyle w:val="FootnoteReference"/>
          <w:color w:val="FF0000"/>
        </w:rPr>
        <w:footnoteRef/>
      </w:r>
      <w:r>
        <w:t xml:space="preserve"> </w:t>
      </w:r>
      <w:proofErr w:type="spellStart"/>
      <w:proofErr w:type="gramStart"/>
      <w:r>
        <w:t>Boman</w:t>
      </w:r>
      <w:proofErr w:type="spellEnd"/>
      <w:r>
        <w:t xml:space="preserve"> Environment Development Corporation v. Court of Appeals, G.R. No.</w:t>
      </w:r>
      <w:proofErr w:type="gramEnd"/>
      <w:r>
        <w:t xml:space="preserve"> </w:t>
      </w:r>
      <w:proofErr w:type="gramStart"/>
      <w:r>
        <w:t>L-77860, November 22, 1988, 167 SCRA 540, 541; citing Steinberg v. Velasco, 52 Phil. 953 (1929).</w:t>
      </w:r>
      <w:proofErr w:type="gramEnd"/>
    </w:p>
    <w:p w:rsidR="009079D7" w:rsidRDefault="009079D7" w:rsidP="009079D7">
      <w:pPr>
        <w:pStyle w:val="FootnoteText"/>
      </w:pPr>
    </w:p>
    <w:p w:rsidR="009079D7" w:rsidRDefault="009079D7" w:rsidP="009079D7">
      <w:pPr>
        <w:pStyle w:val="FootnoteText"/>
      </w:pPr>
      <w:r>
        <w:t>According to 42A, Words and Phrases, Trust Fund Doctrine, p. 445, the "trust fund doctrine" is a "rule that the property of a corporation is a trust fund for the payment of creditors, but such property can be called a trust fund `only by way of analogy or metaphor.' As between the corporation itself and its creditors it is a simple debtor, and as between its creditors and stockholders its assets are in equity a fund for the payment of its debts" (citing McIver v. Young Hardware Co., 57 S.E. 169, 171, 144 N.C. 478, 119 Am. St. Rep. 970; Gallagher v. Asphalt Co. of America, 55 A. 259, 262, 65 N.J. Eq. 258).</w:t>
      </w:r>
    </w:p>
    <w:p w:rsidR="009079D7" w:rsidRDefault="009079D7" w:rsidP="009079D7">
      <w:pPr>
        <w:pStyle w:val="FootnoteText"/>
      </w:pPr>
    </w:p>
  </w:footnote>
  <w:footnote w:id="25">
    <w:p w:rsidR="009079D7" w:rsidRDefault="009079D7" w:rsidP="009079D7">
      <w:pPr>
        <w:pStyle w:val="FootnoteText"/>
      </w:pPr>
      <w:r w:rsidRPr="009079D7">
        <w:rPr>
          <w:rStyle w:val="FootnoteReference"/>
          <w:color w:val="FF0000"/>
        </w:rPr>
        <w:footnoteRef/>
      </w:r>
      <w:r>
        <w:t xml:space="preserve"> </w:t>
      </w:r>
      <w:proofErr w:type="spellStart"/>
      <w:proofErr w:type="gramStart"/>
      <w:r w:rsidRPr="009079D7">
        <w:t>Boman</w:t>
      </w:r>
      <w:proofErr w:type="spellEnd"/>
      <w:r w:rsidRPr="009079D7">
        <w:t xml:space="preserve"> Environment Development Corporation v. Court of Appeals, supra.</w:t>
      </w:r>
      <w:proofErr w:type="gramEnd"/>
    </w:p>
  </w:footnote>
  <w:footnote w:id="26">
    <w:p w:rsidR="009079D7" w:rsidRDefault="009079D7" w:rsidP="009079D7">
      <w:pPr>
        <w:pStyle w:val="FootnoteText"/>
      </w:pPr>
      <w:r w:rsidRPr="009079D7">
        <w:rPr>
          <w:rStyle w:val="FootnoteReference"/>
          <w:color w:val="FF0000"/>
        </w:rPr>
        <w:footnoteRef/>
      </w:r>
      <w:r>
        <w:t xml:space="preserve"> </w:t>
      </w:r>
      <w:r w:rsidRPr="009079D7">
        <w:t>Id.</w:t>
      </w:r>
    </w:p>
  </w:footnote>
  <w:footnote w:id="27">
    <w:p w:rsidR="009079D7" w:rsidRDefault="009079D7" w:rsidP="009079D7">
      <w:pPr>
        <w:pStyle w:val="FootnoteText"/>
      </w:pPr>
      <w:r w:rsidRPr="009079D7">
        <w:rPr>
          <w:rStyle w:val="FootnoteReference"/>
          <w:color w:val="FF0000"/>
        </w:rPr>
        <w:footnoteRef/>
      </w:r>
      <w:r>
        <w:t xml:space="preserve"> </w:t>
      </w:r>
      <w:proofErr w:type="gramStart"/>
      <w:r w:rsidRPr="009079D7">
        <w:t>Section 2, Rule 2, Rules of Court.</w:t>
      </w:r>
      <w:proofErr w:type="gramEnd"/>
    </w:p>
  </w:footnote>
  <w:footnote w:id="28">
    <w:p w:rsidR="009079D7" w:rsidRDefault="009079D7" w:rsidP="009079D7">
      <w:pPr>
        <w:pStyle w:val="FootnoteText"/>
      </w:pPr>
      <w:r w:rsidRPr="009079D7">
        <w:rPr>
          <w:rStyle w:val="FootnoteReference"/>
          <w:color w:val="FF0000"/>
        </w:rPr>
        <w:footnoteRef/>
      </w:r>
      <w:r>
        <w:t xml:space="preserve"> </w:t>
      </w:r>
      <w:proofErr w:type="spellStart"/>
      <w:r w:rsidRPr="009079D7">
        <w:t>Rebollido</w:t>
      </w:r>
      <w:proofErr w:type="spellEnd"/>
      <w:r w:rsidRPr="009079D7">
        <w:t xml:space="preserve"> v. Court of Appeals, G.R. No. 81123, February 28, 1989, 170 SCRA 800; Heirs of Ildefonso </w:t>
      </w:r>
      <w:proofErr w:type="spellStart"/>
      <w:r w:rsidRPr="009079D7">
        <w:t>Coscolluela</w:t>
      </w:r>
      <w:proofErr w:type="spellEnd"/>
      <w:r w:rsidRPr="009079D7">
        <w:t xml:space="preserve"> v. Rico General Insurance Corporation, G.R. No. 84628, November 16, 1989, 179 SCRA 511; </w:t>
      </w:r>
      <w:proofErr w:type="spellStart"/>
      <w:r w:rsidRPr="009079D7">
        <w:t>Nabus</w:t>
      </w:r>
      <w:proofErr w:type="spellEnd"/>
      <w:r w:rsidRPr="009079D7">
        <w:t xml:space="preserve"> v. Court of Appeals, G.R. No. 91670, February 7, 1990, 193 SCRA 732;Mathay v. Consolidated Bank, G.R. No. </w:t>
      </w:r>
      <w:proofErr w:type="gramStart"/>
      <w:r w:rsidRPr="009079D7">
        <w:t xml:space="preserve">L-23136, August 26, 1974, 58 SCRA 559; </w:t>
      </w:r>
      <w:proofErr w:type="spellStart"/>
      <w:r w:rsidRPr="009079D7">
        <w:t>Leberman</w:t>
      </w:r>
      <w:proofErr w:type="spellEnd"/>
      <w:r w:rsidRPr="009079D7">
        <w:t xml:space="preserve"> Realty Corporation v. </w:t>
      </w:r>
      <w:proofErr w:type="spellStart"/>
      <w:r w:rsidRPr="009079D7">
        <w:t>Typingco</w:t>
      </w:r>
      <w:proofErr w:type="spellEnd"/>
      <w:r w:rsidRPr="009079D7">
        <w:t>, G.R. No. 126647, July 29, 1998, 293 SCRA 316.</w:t>
      </w:r>
      <w:proofErr w:type="gramEnd"/>
    </w:p>
  </w:footnote>
  <w:footnote w:id="29">
    <w:p w:rsidR="009079D7" w:rsidRDefault="009079D7" w:rsidP="009079D7">
      <w:pPr>
        <w:pStyle w:val="FootnoteText"/>
      </w:pPr>
      <w:r w:rsidRPr="009079D7">
        <w:rPr>
          <w:rStyle w:val="FootnoteReference"/>
          <w:color w:val="FF0000"/>
        </w:rPr>
        <w:footnoteRef/>
      </w:r>
      <w:r>
        <w:t xml:space="preserve"> </w:t>
      </w:r>
      <w:r w:rsidRPr="009079D7">
        <w:t>Swagman Hotels and Travel, Inc. v. Court of Appeals, G.R. No. 161135, April 8, 2005, 455 SCRA 175.</w:t>
      </w:r>
    </w:p>
  </w:footnote>
  <w:footnote w:id="30">
    <w:p w:rsidR="009079D7" w:rsidRDefault="009079D7" w:rsidP="009079D7">
      <w:pPr>
        <w:pStyle w:val="FootnoteText"/>
      </w:pPr>
      <w:r w:rsidRPr="009079D7">
        <w:rPr>
          <w:rStyle w:val="FootnoteReference"/>
          <w:color w:val="FF0000"/>
        </w:rPr>
        <w:footnoteRef/>
      </w:r>
      <w:r>
        <w:t xml:space="preserve"> </w:t>
      </w:r>
      <w:proofErr w:type="gramStart"/>
      <w:r w:rsidRPr="009079D7">
        <w:t>Lao v. Court of Appeals, G.R. No. 47013, February 17, 2000, 325 SCRA 694.</w:t>
      </w:r>
      <w:proofErr w:type="gramEnd"/>
    </w:p>
  </w:footnote>
  <w:footnote w:id="31">
    <w:p w:rsidR="009079D7" w:rsidRDefault="009079D7" w:rsidP="009079D7">
      <w:pPr>
        <w:pStyle w:val="FootnoteText"/>
      </w:pPr>
      <w:r w:rsidRPr="009079D7">
        <w:rPr>
          <w:rStyle w:val="FootnoteReference"/>
          <w:color w:val="FF0000"/>
        </w:rPr>
        <w:footnoteRef/>
      </w:r>
      <w:r>
        <w:t xml:space="preserve"> </w:t>
      </w:r>
      <w:r w:rsidRPr="009079D7">
        <w:t>Id.</w:t>
      </w:r>
    </w:p>
  </w:footnote>
  <w:footnote w:id="32">
    <w:p w:rsidR="009079D7" w:rsidRDefault="009079D7" w:rsidP="009079D7">
      <w:pPr>
        <w:pStyle w:val="FootnoteText"/>
      </w:pPr>
      <w:r w:rsidRPr="009079D7">
        <w:rPr>
          <w:rStyle w:val="FootnoteReference"/>
          <w:color w:val="FF0000"/>
        </w:rPr>
        <w:footnoteRef/>
      </w:r>
      <w:r>
        <w:t xml:space="preserve"> </w:t>
      </w:r>
      <w:proofErr w:type="gramStart"/>
      <w:r w:rsidRPr="009079D7">
        <w:t>Estrada v. Court of Appeals, G.R. No. 137862, November 11, 2004, 442 SCRA 117.</w:t>
      </w:r>
      <w:proofErr w:type="gramEnd"/>
    </w:p>
  </w:footnote>
  <w:footnote w:id="33">
    <w:p w:rsidR="009079D7" w:rsidRDefault="009079D7" w:rsidP="009079D7">
      <w:pPr>
        <w:pStyle w:val="FootnoteText"/>
      </w:pPr>
      <w:r w:rsidRPr="009079D7">
        <w:rPr>
          <w:rStyle w:val="FootnoteReference"/>
          <w:color w:val="FF0000"/>
        </w:rPr>
        <w:footnoteRef/>
      </w:r>
      <w:r>
        <w:t xml:space="preserve"> </w:t>
      </w:r>
      <w:proofErr w:type="gramStart"/>
      <w:r w:rsidRPr="009079D7">
        <w:t>Section 1, Rule 15, Rules of Court.</w:t>
      </w:r>
      <w:proofErr w:type="gramEnd"/>
    </w:p>
  </w:footnote>
  <w:footnote w:id="34">
    <w:p w:rsidR="009079D7" w:rsidRDefault="009079D7" w:rsidP="009079D7">
      <w:pPr>
        <w:pStyle w:val="FootnoteText"/>
      </w:pPr>
      <w:r w:rsidRPr="009079D7">
        <w:rPr>
          <w:rStyle w:val="FootnoteReference"/>
          <w:color w:val="FF0000"/>
        </w:rPr>
        <w:footnoteRef/>
      </w:r>
      <w:r>
        <w:t xml:space="preserve"> </w:t>
      </w:r>
      <w:r w:rsidRPr="009079D7">
        <w:t>Section 5, Rule 1, Rules of Court; A.G. Development Corporation v. Court of Appeals, G.R. No. 111662, October 23, 1997, 281 SCRA 155.</w:t>
      </w:r>
    </w:p>
  </w:footnote>
  <w:footnote w:id="35">
    <w:p w:rsidR="00C17E20" w:rsidRDefault="009079D7" w:rsidP="00C17E20">
      <w:pPr>
        <w:spacing w:after="240" w:line="240" w:lineRule="auto"/>
      </w:pPr>
      <w:r w:rsidRPr="009079D7">
        <w:rPr>
          <w:rStyle w:val="FootnoteReference"/>
          <w:color w:val="FF0000"/>
        </w:rPr>
        <w:footnoteRef/>
      </w:r>
      <w:r>
        <w:t xml:space="preserve"> </w:t>
      </w:r>
      <w:proofErr w:type="gramStart"/>
      <w:r w:rsidRPr="009079D7">
        <w:t>68 Phil 113 (1939).</w:t>
      </w:r>
      <w:proofErr w:type="gramEnd"/>
      <w:r w:rsidR="00C17E20">
        <w:tab/>
      </w:r>
      <w:r w:rsidR="00C17E20">
        <w:tab/>
      </w:r>
      <w:r w:rsidR="00C17E20">
        <w:tab/>
      </w:r>
      <w:r w:rsidR="00C17E20">
        <w:tab/>
      </w:r>
      <w:r w:rsidR="00C17E20">
        <w:tab/>
      </w:r>
      <w:r w:rsidR="00C17E20">
        <w:tab/>
      </w:r>
      <w:r w:rsidR="00C17E20">
        <w:tab/>
      </w:r>
      <w:r w:rsidR="00C17E20">
        <w:rPr>
          <w:rFonts w:ascii="Verdana" w:eastAsia="Times New Roman" w:hAnsi="Verdana" w:cs="Times New Roman"/>
          <w:color w:val="666666"/>
          <w:sz w:val="15"/>
          <w:szCs w:val="15"/>
          <w:lang w:eastAsia="en-PH"/>
        </w:rPr>
        <w:t>Source: Supreme Court E-Library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0F565F"/>
    <w:multiLevelType w:val="multilevel"/>
    <w:tmpl w:val="6E8EC8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896"/>
    <w:rsid w:val="00064896"/>
    <w:rsid w:val="005C2C64"/>
    <w:rsid w:val="007C54B3"/>
    <w:rsid w:val="00841205"/>
    <w:rsid w:val="009079D7"/>
    <w:rsid w:val="00B10B08"/>
    <w:rsid w:val="00C17E20"/>
    <w:rsid w:val="00D34D69"/>
    <w:rsid w:val="00E13432"/>
    <w:rsid w:val="00EC41F1"/>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64896"/>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064896"/>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64896"/>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064896"/>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064896"/>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064896"/>
    <w:rPr>
      <w:b/>
      <w:bCs/>
    </w:rPr>
  </w:style>
  <w:style w:type="paragraph" w:styleId="BalloonText">
    <w:name w:val="Balloon Text"/>
    <w:basedOn w:val="Normal"/>
    <w:link w:val="BalloonTextChar"/>
    <w:uiPriority w:val="99"/>
    <w:semiHidden/>
    <w:unhideWhenUsed/>
    <w:rsid w:val="000648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4896"/>
    <w:rPr>
      <w:rFonts w:ascii="Tahoma" w:hAnsi="Tahoma" w:cs="Tahoma"/>
      <w:sz w:val="16"/>
      <w:szCs w:val="16"/>
    </w:rPr>
  </w:style>
  <w:style w:type="paragraph" w:styleId="FootnoteText">
    <w:name w:val="footnote text"/>
    <w:basedOn w:val="Normal"/>
    <w:link w:val="FootnoteTextChar"/>
    <w:uiPriority w:val="99"/>
    <w:semiHidden/>
    <w:unhideWhenUsed/>
    <w:rsid w:val="009079D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079D7"/>
    <w:rPr>
      <w:sz w:val="20"/>
      <w:szCs w:val="20"/>
    </w:rPr>
  </w:style>
  <w:style w:type="character" w:styleId="FootnoteReference">
    <w:name w:val="footnote reference"/>
    <w:basedOn w:val="DefaultParagraphFont"/>
    <w:uiPriority w:val="99"/>
    <w:semiHidden/>
    <w:unhideWhenUsed/>
    <w:rsid w:val="009079D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064896"/>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064896"/>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64896"/>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064896"/>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064896"/>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064896"/>
    <w:rPr>
      <w:b/>
      <w:bCs/>
    </w:rPr>
  </w:style>
  <w:style w:type="paragraph" w:styleId="BalloonText">
    <w:name w:val="Balloon Text"/>
    <w:basedOn w:val="Normal"/>
    <w:link w:val="BalloonTextChar"/>
    <w:uiPriority w:val="99"/>
    <w:semiHidden/>
    <w:unhideWhenUsed/>
    <w:rsid w:val="000648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4896"/>
    <w:rPr>
      <w:rFonts w:ascii="Tahoma" w:hAnsi="Tahoma" w:cs="Tahoma"/>
      <w:sz w:val="16"/>
      <w:szCs w:val="16"/>
    </w:rPr>
  </w:style>
  <w:style w:type="paragraph" w:styleId="FootnoteText">
    <w:name w:val="footnote text"/>
    <w:basedOn w:val="Normal"/>
    <w:link w:val="FootnoteTextChar"/>
    <w:uiPriority w:val="99"/>
    <w:semiHidden/>
    <w:unhideWhenUsed/>
    <w:rsid w:val="009079D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079D7"/>
    <w:rPr>
      <w:sz w:val="20"/>
      <w:szCs w:val="20"/>
    </w:rPr>
  </w:style>
  <w:style w:type="character" w:styleId="FootnoteReference">
    <w:name w:val="footnote reference"/>
    <w:basedOn w:val="DefaultParagraphFont"/>
    <w:uiPriority w:val="99"/>
    <w:semiHidden/>
    <w:unhideWhenUsed/>
    <w:rsid w:val="009079D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202303">
      <w:bodyDiv w:val="1"/>
      <w:marLeft w:val="0"/>
      <w:marRight w:val="0"/>
      <w:marTop w:val="0"/>
      <w:marBottom w:val="0"/>
      <w:divBdr>
        <w:top w:val="none" w:sz="0" w:space="0" w:color="auto"/>
        <w:left w:val="none" w:sz="0" w:space="0" w:color="auto"/>
        <w:bottom w:val="none" w:sz="0" w:space="0" w:color="auto"/>
        <w:right w:val="none" w:sz="0" w:space="0" w:color="auto"/>
      </w:divBdr>
      <w:divsChild>
        <w:div w:id="8946589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53BFD5-243A-45D2-96D4-0A038DE7C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12</Pages>
  <Words>4689</Words>
  <Characters>26728</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2020-04-18T05:52:00Z</dcterms:created>
  <dcterms:modified xsi:type="dcterms:W3CDTF">2020-04-18T07:33:00Z</dcterms:modified>
</cp:coreProperties>
</file>