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E8B" w:rsidRPr="00460E8B" w:rsidRDefault="00460E8B" w:rsidP="00460E8B">
      <w:pPr>
        <w:spacing w:after="0" w:line="240" w:lineRule="auto"/>
        <w:rPr>
          <w:rFonts w:ascii="Times New Roman" w:eastAsia="Times New Roman" w:hAnsi="Times New Roman" w:cs="Times New Roman"/>
          <w:sz w:val="24"/>
          <w:szCs w:val="24"/>
          <w:lang w:eastAsia="en-PH"/>
        </w:rPr>
      </w:pPr>
      <w:r w:rsidRPr="00460E8B">
        <w:rPr>
          <w:rFonts w:ascii="Verdana" w:eastAsia="Times New Roman" w:hAnsi="Verdana" w:cs="Times New Roman"/>
          <w:color w:val="000000"/>
          <w:lang w:eastAsia="en-PH"/>
        </w:rPr>
        <w:t>592 Phil. 595</w:t>
      </w:r>
      <w:bookmarkStart w:id="0" w:name="_GoBack"/>
      <w:bookmarkEnd w:id="0"/>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p>
    <w:p w:rsidR="00460E8B" w:rsidRPr="00460E8B" w:rsidRDefault="00460E8B" w:rsidP="004B3E44">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460E8B">
        <w:rPr>
          <w:rFonts w:ascii="Verdana" w:eastAsia="Times New Roman" w:hAnsi="Verdana" w:cs="Times New Roman"/>
          <w:b/>
          <w:bCs/>
          <w:color w:val="000000"/>
          <w:sz w:val="36"/>
          <w:szCs w:val="36"/>
          <w:lang w:eastAsia="en-PH"/>
        </w:rPr>
        <w:t>THIRD DIVISION</w:t>
      </w:r>
    </w:p>
    <w:p w:rsidR="00460E8B" w:rsidRPr="00460E8B" w:rsidRDefault="00460E8B" w:rsidP="00460E8B">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460E8B">
        <w:rPr>
          <w:rFonts w:ascii="Verdana" w:eastAsia="Times New Roman" w:hAnsi="Verdana" w:cs="Times New Roman"/>
          <w:b/>
          <w:bCs/>
          <w:color w:val="000000"/>
          <w:sz w:val="36"/>
          <w:szCs w:val="36"/>
          <w:lang w:eastAsia="en-PH"/>
        </w:rPr>
        <w:t>[ G.R</w:t>
      </w:r>
      <w:proofErr w:type="gramEnd"/>
      <w:r w:rsidRPr="00460E8B">
        <w:rPr>
          <w:rFonts w:ascii="Verdana" w:eastAsia="Times New Roman" w:hAnsi="Verdana" w:cs="Times New Roman"/>
          <w:b/>
          <w:bCs/>
          <w:color w:val="000000"/>
          <w:sz w:val="36"/>
          <w:szCs w:val="36"/>
          <w:lang w:eastAsia="en-PH"/>
        </w:rPr>
        <w:t>. No. 177505, November 27, 2008 ]</w:t>
      </w:r>
    </w:p>
    <w:p w:rsidR="00460E8B" w:rsidRPr="00460E8B" w:rsidRDefault="00460E8B" w:rsidP="00460E8B">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460E8B">
        <w:rPr>
          <w:rFonts w:ascii="Verdana" w:eastAsia="Times New Roman" w:hAnsi="Verdana" w:cs="Times New Roman"/>
          <w:b/>
          <w:bCs/>
          <w:color w:val="000000"/>
          <w:sz w:val="27"/>
          <w:szCs w:val="27"/>
          <w:lang w:eastAsia="en-PH"/>
        </w:rPr>
        <w:t xml:space="preserve">HEIRS OF GORGONIO MEDINA, NAMELY: LEONOR T. MEDINA, RAMON T. MEDINA, ABIEL T. MEDINA, ILUDIVINA M. ROSARI, CONCEPCION DE LA CRUZ, LEONOR M. BAKKER, SAMUEL T. MEDINA, VICTOR T. MEDINA, TERESITA M. SABADO, JOSEFINA M. CANAS AND VERONICA M. DE GUZMAN. </w:t>
      </w:r>
      <w:proofErr w:type="gramStart"/>
      <w:r w:rsidRPr="00460E8B">
        <w:rPr>
          <w:rFonts w:ascii="Verdana" w:eastAsia="Times New Roman" w:hAnsi="Verdana" w:cs="Times New Roman"/>
          <w:b/>
          <w:bCs/>
          <w:color w:val="000000"/>
          <w:sz w:val="27"/>
          <w:szCs w:val="27"/>
          <w:lang w:eastAsia="en-PH"/>
        </w:rPr>
        <w:t>PETITIONERS, VS.</w:t>
      </w:r>
      <w:proofErr w:type="gramEnd"/>
      <w:r w:rsidRPr="00460E8B">
        <w:rPr>
          <w:rFonts w:ascii="Verdana" w:eastAsia="Times New Roman" w:hAnsi="Verdana" w:cs="Times New Roman"/>
          <w:b/>
          <w:bCs/>
          <w:color w:val="000000"/>
          <w:sz w:val="27"/>
          <w:szCs w:val="27"/>
          <w:lang w:eastAsia="en-PH"/>
        </w:rPr>
        <w:t xml:space="preserve"> </w:t>
      </w:r>
      <w:proofErr w:type="gramStart"/>
      <w:r w:rsidRPr="00460E8B">
        <w:rPr>
          <w:rFonts w:ascii="Verdana" w:eastAsia="Times New Roman" w:hAnsi="Verdana" w:cs="Times New Roman"/>
          <w:b/>
          <w:bCs/>
          <w:color w:val="000000"/>
          <w:sz w:val="27"/>
          <w:szCs w:val="27"/>
          <w:lang w:eastAsia="en-PH"/>
        </w:rPr>
        <w:t>BONIFACIO NATIVIDAD, REPRESENTED BY PHILIP M. NATIVIDAD, RESPONDENT.</w:t>
      </w:r>
      <w:proofErr w:type="gramEnd"/>
      <w:r w:rsidRPr="00460E8B">
        <w:rPr>
          <w:rFonts w:ascii="Verdana" w:eastAsia="Times New Roman" w:hAnsi="Verdana" w:cs="Times New Roman"/>
          <w:b/>
          <w:bCs/>
          <w:color w:val="000000"/>
          <w:sz w:val="27"/>
          <w:szCs w:val="27"/>
          <w:lang w:eastAsia="en-PH"/>
        </w:rPr>
        <w:br/>
      </w:r>
      <w:r w:rsidRPr="00460E8B">
        <w:rPr>
          <w:rFonts w:ascii="Verdana" w:eastAsia="Times New Roman" w:hAnsi="Verdana" w:cs="Times New Roman"/>
          <w:b/>
          <w:bCs/>
          <w:color w:val="000000"/>
          <w:sz w:val="27"/>
          <w:szCs w:val="27"/>
          <w:lang w:eastAsia="en-PH"/>
        </w:rPr>
        <w:br/>
        <w:t>D E C I S I O N</w:t>
      </w:r>
    </w:p>
    <w:p w:rsidR="00460E8B" w:rsidRPr="00460E8B" w:rsidRDefault="00460E8B" w:rsidP="00460E8B">
      <w:pPr>
        <w:spacing w:before="100" w:beforeAutospacing="1" w:after="100" w:afterAutospacing="1" w:line="240" w:lineRule="auto"/>
        <w:rPr>
          <w:rFonts w:ascii="Verdana" w:eastAsia="Times New Roman" w:hAnsi="Verdana" w:cs="Times New Roman"/>
          <w:color w:val="000000"/>
          <w:lang w:eastAsia="en-PH"/>
        </w:rPr>
      </w:pPr>
      <w:r w:rsidRPr="00460E8B">
        <w:rPr>
          <w:rFonts w:ascii="Verdana" w:eastAsia="Times New Roman" w:hAnsi="Verdana" w:cs="Times New Roman"/>
          <w:b/>
          <w:bCs/>
          <w:color w:val="000000"/>
          <w:lang w:eastAsia="en-PH"/>
        </w:rPr>
        <w:t>CHICO-NAZARIO, J.:</w:t>
      </w:r>
    </w:p>
    <w:p w:rsidR="00460E8B" w:rsidRP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Before Us is a Petition for Review on </w:t>
      </w:r>
      <w:r w:rsidRPr="00460E8B">
        <w:rPr>
          <w:rFonts w:ascii="Verdana" w:eastAsia="Times New Roman" w:hAnsi="Verdana" w:cs="Times New Roman"/>
          <w:i/>
          <w:iCs/>
          <w:color w:val="000000"/>
          <w:lang w:eastAsia="en-PH"/>
        </w:rPr>
        <w:t>Certiorari</w:t>
      </w:r>
      <w:r w:rsidRPr="00460E8B">
        <w:rPr>
          <w:rFonts w:ascii="Verdana" w:eastAsia="Times New Roman" w:hAnsi="Verdana" w:cs="Times New Roman"/>
          <w:color w:val="000000"/>
          <w:lang w:eastAsia="en-PH"/>
        </w:rPr>
        <w:t xml:space="preserve"> under Rule 45 of the 1997 Rules of Civil Procedure which seeks to set aside the </w:t>
      </w:r>
      <w:proofErr w:type="gramStart"/>
      <w:r w:rsidRPr="00460E8B">
        <w:rPr>
          <w:rFonts w:ascii="Verdana" w:eastAsia="Times New Roman" w:hAnsi="Verdana" w:cs="Times New Roman"/>
          <w:color w:val="000000"/>
          <w:lang w:eastAsia="en-PH"/>
        </w:rPr>
        <w:t>Decision</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of the Court of Appeals dated 20 November 2006 in CA-G.R. CV No. 82160 affirming with modification the Decision</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of Branch 33 of the Regional Trial Court (RTC) of </w:t>
      </w:r>
      <w:proofErr w:type="spellStart"/>
      <w:r w:rsidRPr="00460E8B">
        <w:rPr>
          <w:rFonts w:ascii="Verdana" w:eastAsia="Times New Roman" w:hAnsi="Verdana" w:cs="Times New Roman"/>
          <w:color w:val="000000"/>
          <w:lang w:eastAsia="en-PH"/>
        </w:rPr>
        <w:t>Guimba</w:t>
      </w:r>
      <w:proofErr w:type="spellEnd"/>
      <w:r w:rsidRPr="00460E8B">
        <w:rPr>
          <w:rFonts w:ascii="Verdana" w:eastAsia="Times New Roman" w:hAnsi="Verdana" w:cs="Times New Roman"/>
          <w:color w:val="000000"/>
          <w:lang w:eastAsia="en-PH"/>
        </w:rPr>
        <w:t xml:space="preserve">, Nueva </w:t>
      </w:r>
      <w:proofErr w:type="spellStart"/>
      <w:r w:rsidRPr="00460E8B">
        <w:rPr>
          <w:rFonts w:ascii="Verdana" w:eastAsia="Times New Roman" w:hAnsi="Verdana" w:cs="Times New Roman"/>
          <w:color w:val="000000"/>
          <w:lang w:eastAsia="en-PH"/>
        </w:rPr>
        <w:t>Ecija</w:t>
      </w:r>
      <w:proofErr w:type="spellEnd"/>
      <w:r w:rsidRPr="00460E8B">
        <w:rPr>
          <w:rFonts w:ascii="Verdana" w:eastAsia="Times New Roman" w:hAnsi="Verdana" w:cs="Times New Roman"/>
          <w:color w:val="000000"/>
          <w:lang w:eastAsia="en-PH"/>
        </w:rPr>
        <w:t>, in Civil Case No. 1165-G and its Resolution</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dated 16 April 2007 denying petitioners' motion for reconsideration.</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The factual antecedents are as follows</w:t>
      </w:r>
      <w:proofErr w:type="gramStart"/>
      <w:r w:rsidRPr="00460E8B">
        <w:rPr>
          <w:rFonts w:ascii="Verdana" w:eastAsia="Times New Roman" w:hAnsi="Verdana" w:cs="Times New Roman"/>
          <w:color w:val="000000"/>
          <w:lang w:eastAsia="en-PH"/>
        </w:rPr>
        <w:t>:</w:t>
      </w:r>
      <w:proofErr w:type="gramEnd"/>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On 16 May 1969, </w:t>
      </w:r>
      <w:proofErr w:type="spellStart"/>
      <w:r w:rsidRPr="00460E8B">
        <w:rPr>
          <w:rFonts w:ascii="Verdana" w:eastAsia="Times New Roman" w:hAnsi="Verdana" w:cs="Times New Roman"/>
          <w:color w:val="000000"/>
          <w:lang w:eastAsia="en-PH"/>
        </w:rPr>
        <w:t>Tirso</w:t>
      </w:r>
      <w:proofErr w:type="spellEnd"/>
      <w:r w:rsidRPr="00460E8B">
        <w:rPr>
          <w:rFonts w:ascii="Verdana" w:eastAsia="Times New Roman" w:hAnsi="Verdana" w:cs="Times New Roman"/>
          <w:color w:val="000000"/>
          <w:lang w:eastAsia="en-PH"/>
        </w:rPr>
        <w:t xml:space="preserve"> Medina, </w:t>
      </w:r>
      <w:proofErr w:type="spellStart"/>
      <w:r w:rsidRPr="00460E8B">
        <w:rPr>
          <w:rFonts w:ascii="Verdana" w:eastAsia="Times New Roman" w:hAnsi="Verdana" w:cs="Times New Roman"/>
          <w:color w:val="000000"/>
          <w:lang w:eastAsia="en-PH"/>
        </w:rPr>
        <w:t>Pacifico</w:t>
      </w:r>
      <w:proofErr w:type="spellEnd"/>
      <w:r w:rsidRPr="00460E8B">
        <w:rPr>
          <w:rFonts w:ascii="Verdana" w:eastAsia="Times New Roman" w:hAnsi="Verdana" w:cs="Times New Roman"/>
          <w:color w:val="000000"/>
          <w:lang w:eastAsia="en-PH"/>
        </w:rPr>
        <w:t xml:space="preserve"> M. Ruiz, Gorgonio D. Medina, </w:t>
      </w:r>
      <w:proofErr w:type="spellStart"/>
      <w:r w:rsidRPr="00460E8B">
        <w:rPr>
          <w:rFonts w:ascii="Verdana" w:eastAsia="Times New Roman" w:hAnsi="Verdana" w:cs="Times New Roman"/>
          <w:color w:val="000000"/>
          <w:lang w:eastAsia="en-PH"/>
        </w:rPr>
        <w:t>Vivencio</w:t>
      </w:r>
      <w:proofErr w:type="spellEnd"/>
      <w:r w:rsidRPr="00460E8B">
        <w:rPr>
          <w:rFonts w:ascii="Verdana" w:eastAsia="Times New Roman" w:hAnsi="Verdana" w:cs="Times New Roman"/>
          <w:color w:val="000000"/>
          <w:lang w:eastAsia="en-PH"/>
        </w:rPr>
        <w:t xml:space="preserve"> M. Ruiz, and Dominica Medina, co-owners of a parcel of land (Lot 1199, Cad-162, </w:t>
      </w:r>
      <w:proofErr w:type="spellStart"/>
      <w:r w:rsidRPr="00460E8B">
        <w:rPr>
          <w:rFonts w:ascii="Verdana" w:eastAsia="Times New Roman" w:hAnsi="Verdana" w:cs="Times New Roman"/>
          <w:color w:val="000000"/>
          <w:lang w:eastAsia="en-PH"/>
        </w:rPr>
        <w:t>Guimba</w:t>
      </w:r>
      <w:proofErr w:type="spellEnd"/>
      <w:r w:rsidRPr="00460E8B">
        <w:rPr>
          <w:rFonts w:ascii="Verdana" w:eastAsia="Times New Roman" w:hAnsi="Verdana" w:cs="Times New Roman"/>
          <w:color w:val="000000"/>
          <w:lang w:eastAsia="en-PH"/>
        </w:rPr>
        <w:t xml:space="preserve"> Cadastre, plan Ap-23418) situated in </w:t>
      </w:r>
      <w:proofErr w:type="spellStart"/>
      <w:r w:rsidRPr="00460E8B">
        <w:rPr>
          <w:rFonts w:ascii="Verdana" w:eastAsia="Times New Roman" w:hAnsi="Verdana" w:cs="Times New Roman"/>
          <w:color w:val="000000"/>
          <w:lang w:eastAsia="en-PH"/>
        </w:rPr>
        <w:t>Poblacion</w:t>
      </w:r>
      <w:proofErr w:type="spellEnd"/>
      <w:r w:rsidRPr="00460E8B">
        <w:rPr>
          <w:rFonts w:ascii="Verdana" w:eastAsia="Times New Roman" w:hAnsi="Verdana" w:cs="Times New Roman"/>
          <w:color w:val="000000"/>
          <w:lang w:eastAsia="en-PH"/>
        </w:rPr>
        <w:t xml:space="preserve">, Municipality of </w:t>
      </w:r>
      <w:proofErr w:type="spellStart"/>
      <w:r w:rsidRPr="00460E8B">
        <w:rPr>
          <w:rFonts w:ascii="Verdana" w:eastAsia="Times New Roman" w:hAnsi="Verdana" w:cs="Times New Roman"/>
          <w:color w:val="000000"/>
          <w:lang w:eastAsia="en-PH"/>
        </w:rPr>
        <w:t>Guimba</w:t>
      </w:r>
      <w:proofErr w:type="spellEnd"/>
      <w:r w:rsidRPr="00460E8B">
        <w:rPr>
          <w:rFonts w:ascii="Verdana" w:eastAsia="Times New Roman" w:hAnsi="Verdana" w:cs="Times New Roman"/>
          <w:color w:val="000000"/>
          <w:lang w:eastAsia="en-PH"/>
        </w:rPr>
        <w:t xml:space="preserve">, Province of Nueva </w:t>
      </w:r>
      <w:proofErr w:type="spellStart"/>
      <w:r w:rsidRPr="00460E8B">
        <w:rPr>
          <w:rFonts w:ascii="Verdana" w:eastAsia="Times New Roman" w:hAnsi="Verdana" w:cs="Times New Roman"/>
          <w:color w:val="000000"/>
          <w:lang w:eastAsia="en-PH"/>
        </w:rPr>
        <w:t>Ecija</w:t>
      </w:r>
      <w:proofErr w:type="spellEnd"/>
      <w:r w:rsidRPr="00460E8B">
        <w:rPr>
          <w:rFonts w:ascii="Verdana" w:eastAsia="Times New Roman" w:hAnsi="Verdana" w:cs="Times New Roman"/>
          <w:color w:val="000000"/>
          <w:lang w:eastAsia="en-PH"/>
        </w:rPr>
        <w:t xml:space="preserve">, containing an area of two thousand three hundred thirty nine (2,339) square meters, agreed to divide and allot for themselves the said land. A </w:t>
      </w:r>
      <w:proofErr w:type="gramStart"/>
      <w:r w:rsidRPr="00460E8B">
        <w:rPr>
          <w:rFonts w:ascii="Verdana" w:eastAsia="Times New Roman" w:hAnsi="Verdana" w:cs="Times New Roman"/>
          <w:color w:val="000000"/>
          <w:lang w:eastAsia="en-PH"/>
        </w:rPr>
        <w:t>sketch</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4"/>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signed by the co-owners showed the respective portions of land allotted to each. Gorgonio D. Medina received two portions of said land. One portion was allotted to him alone, while the second portion was allotted to him together with </w:t>
      </w:r>
      <w:proofErr w:type="spellStart"/>
      <w:r w:rsidRPr="00460E8B">
        <w:rPr>
          <w:rFonts w:ascii="Verdana" w:eastAsia="Times New Roman" w:hAnsi="Verdana" w:cs="Times New Roman"/>
          <w:color w:val="000000"/>
          <w:lang w:eastAsia="en-PH"/>
        </w:rPr>
        <w:t>Tirso</w:t>
      </w:r>
      <w:proofErr w:type="spellEnd"/>
      <w:r w:rsidRPr="00460E8B">
        <w:rPr>
          <w:rFonts w:ascii="Verdana" w:eastAsia="Times New Roman" w:hAnsi="Verdana" w:cs="Times New Roman"/>
          <w:color w:val="000000"/>
          <w:lang w:eastAsia="en-PH"/>
        </w:rPr>
        <w:t xml:space="preserve"> Medina and </w:t>
      </w:r>
      <w:proofErr w:type="spellStart"/>
      <w:r w:rsidRPr="00460E8B">
        <w:rPr>
          <w:rFonts w:ascii="Verdana" w:eastAsia="Times New Roman" w:hAnsi="Verdana" w:cs="Times New Roman"/>
          <w:color w:val="000000"/>
          <w:lang w:eastAsia="en-PH"/>
        </w:rPr>
        <w:t>Pacifico</w:t>
      </w:r>
      <w:proofErr w:type="spellEnd"/>
      <w:r w:rsidRPr="00460E8B">
        <w:rPr>
          <w:rFonts w:ascii="Verdana" w:eastAsia="Times New Roman" w:hAnsi="Verdana" w:cs="Times New Roman"/>
          <w:color w:val="000000"/>
          <w:lang w:eastAsia="en-PH"/>
        </w:rPr>
        <w:t xml:space="preserve"> M. Ruiz. This second portion is </w:t>
      </w:r>
      <w:proofErr w:type="spellStart"/>
      <w:r w:rsidRPr="00460E8B">
        <w:rPr>
          <w:rFonts w:ascii="Verdana" w:eastAsia="Times New Roman" w:hAnsi="Verdana" w:cs="Times New Roman"/>
          <w:color w:val="000000"/>
          <w:lang w:eastAsia="en-PH"/>
        </w:rPr>
        <w:t>labeled</w:t>
      </w:r>
      <w:proofErr w:type="spellEnd"/>
      <w:r w:rsidRPr="00460E8B">
        <w:rPr>
          <w:rFonts w:ascii="Verdana" w:eastAsia="Times New Roman" w:hAnsi="Verdana" w:cs="Times New Roman"/>
          <w:color w:val="000000"/>
          <w:lang w:eastAsia="en-PH"/>
        </w:rPr>
        <w:t xml:space="preserve"> as "Gorgonio Medina, </w:t>
      </w:r>
      <w:proofErr w:type="spellStart"/>
      <w:r w:rsidRPr="00460E8B">
        <w:rPr>
          <w:rFonts w:ascii="Verdana" w:eastAsia="Times New Roman" w:hAnsi="Verdana" w:cs="Times New Roman"/>
          <w:color w:val="000000"/>
          <w:lang w:eastAsia="en-PH"/>
        </w:rPr>
        <w:t>Tirso</w:t>
      </w:r>
      <w:proofErr w:type="spellEnd"/>
      <w:r w:rsidRPr="00460E8B">
        <w:rPr>
          <w:rFonts w:ascii="Verdana" w:eastAsia="Times New Roman" w:hAnsi="Verdana" w:cs="Times New Roman"/>
          <w:color w:val="000000"/>
          <w:lang w:eastAsia="en-PH"/>
        </w:rPr>
        <w:t xml:space="preserve"> Medina and </w:t>
      </w:r>
      <w:proofErr w:type="spellStart"/>
      <w:r w:rsidRPr="00460E8B">
        <w:rPr>
          <w:rFonts w:ascii="Verdana" w:eastAsia="Times New Roman" w:hAnsi="Verdana" w:cs="Times New Roman"/>
          <w:color w:val="000000"/>
          <w:lang w:eastAsia="en-PH"/>
        </w:rPr>
        <w:t>Pacifico</w:t>
      </w:r>
      <w:proofErr w:type="spellEnd"/>
      <w:r w:rsidRPr="00460E8B">
        <w:rPr>
          <w:rFonts w:ascii="Verdana" w:eastAsia="Times New Roman" w:hAnsi="Verdana" w:cs="Times New Roman"/>
          <w:color w:val="000000"/>
          <w:lang w:eastAsia="en-PH"/>
        </w:rPr>
        <w:t xml:space="preserve"> M. Ruiz" which is adjacent to the portion </w:t>
      </w:r>
      <w:proofErr w:type="spellStart"/>
      <w:r w:rsidRPr="00460E8B">
        <w:rPr>
          <w:rFonts w:ascii="Verdana" w:eastAsia="Times New Roman" w:hAnsi="Verdana" w:cs="Times New Roman"/>
          <w:color w:val="000000"/>
          <w:lang w:eastAsia="en-PH"/>
        </w:rPr>
        <w:t>labeled</w:t>
      </w:r>
      <w:proofErr w:type="spellEnd"/>
      <w:r w:rsidRPr="00460E8B">
        <w:rPr>
          <w:rFonts w:ascii="Verdana" w:eastAsia="Times New Roman" w:hAnsi="Verdana" w:cs="Times New Roman"/>
          <w:color w:val="000000"/>
          <w:lang w:eastAsia="en-PH"/>
        </w:rPr>
        <w:t xml:space="preserve"> as "Dominica Medina."</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lastRenderedPageBreak/>
        <w:t xml:space="preserve">On 29 March 1972, Gorgonio D. Medina, predecessor-in-interest of petitioners, executed a Deed of Absolute </w:t>
      </w:r>
      <w:proofErr w:type="gramStart"/>
      <w:r w:rsidRPr="00460E8B">
        <w:rPr>
          <w:rFonts w:ascii="Verdana" w:eastAsia="Times New Roman" w:hAnsi="Verdana" w:cs="Times New Roman"/>
          <w:color w:val="000000"/>
          <w:lang w:eastAsia="en-PH"/>
        </w:rPr>
        <w:t>Sale</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5"/>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whereby he sold to respondent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for P2,000.00 his share (1/3) in the second portion of land including the improvements found therein.</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Subsequently, a case for Partition with Damages, docketed as Civil Case No. 781-G, was filed before the RTC of </w:t>
      </w:r>
      <w:proofErr w:type="spellStart"/>
      <w:r w:rsidRPr="00460E8B">
        <w:rPr>
          <w:rFonts w:ascii="Verdana" w:eastAsia="Times New Roman" w:hAnsi="Verdana" w:cs="Times New Roman"/>
          <w:color w:val="000000"/>
          <w:lang w:eastAsia="en-PH"/>
        </w:rPr>
        <w:t>Guimba</w:t>
      </w:r>
      <w:proofErr w:type="spellEnd"/>
      <w:r w:rsidRPr="00460E8B">
        <w:rPr>
          <w:rFonts w:ascii="Verdana" w:eastAsia="Times New Roman" w:hAnsi="Verdana" w:cs="Times New Roman"/>
          <w:color w:val="000000"/>
          <w:lang w:eastAsia="en-PH"/>
        </w:rPr>
        <w:t xml:space="preserve">, Nueva </w:t>
      </w:r>
      <w:proofErr w:type="spellStart"/>
      <w:r w:rsidRPr="00460E8B">
        <w:rPr>
          <w:rFonts w:ascii="Verdana" w:eastAsia="Times New Roman" w:hAnsi="Verdana" w:cs="Times New Roman"/>
          <w:color w:val="000000"/>
          <w:lang w:eastAsia="en-PH"/>
        </w:rPr>
        <w:t>Ecija</w:t>
      </w:r>
      <w:proofErr w:type="spellEnd"/>
      <w:r w:rsidRPr="00460E8B">
        <w:rPr>
          <w:rFonts w:ascii="Verdana" w:eastAsia="Times New Roman" w:hAnsi="Verdana" w:cs="Times New Roman"/>
          <w:color w:val="000000"/>
          <w:lang w:eastAsia="en-PH"/>
        </w:rPr>
        <w:t xml:space="preserve">, Branch 33, by </w:t>
      </w:r>
      <w:proofErr w:type="spellStart"/>
      <w:r w:rsidRPr="00460E8B">
        <w:rPr>
          <w:rFonts w:ascii="Verdana" w:eastAsia="Times New Roman" w:hAnsi="Verdana" w:cs="Times New Roman"/>
          <w:color w:val="000000"/>
          <w:lang w:eastAsia="en-PH"/>
        </w:rPr>
        <w:t>Tirso</w:t>
      </w:r>
      <w:proofErr w:type="spellEnd"/>
      <w:r w:rsidRPr="00460E8B">
        <w:rPr>
          <w:rFonts w:ascii="Verdana" w:eastAsia="Times New Roman" w:hAnsi="Verdana" w:cs="Times New Roman"/>
          <w:color w:val="000000"/>
          <w:lang w:eastAsia="en-PH"/>
        </w:rPr>
        <w:t xml:space="preserve"> Medina against the co-owners of Lot 1199, among whom are Gorgonio Medina and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had likewise already bought the share of Dominica Medina in the land.</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The parties entered into a compromise agreement which they submitted to the Court. On 20 November 1989, the RTC approved the agreement and rendered its decision based on the same.</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6"/>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The Compromise Agreement as quoted by the Court reads:</w:t>
      </w:r>
    </w:p>
    <w:p w:rsidR="00460E8B" w:rsidRPr="00460E8B" w:rsidRDefault="00460E8B" w:rsidP="00460E8B">
      <w:pPr>
        <w:spacing w:after="0" w:line="240" w:lineRule="auto"/>
        <w:ind w:left="720"/>
        <w:jc w:val="center"/>
        <w:rPr>
          <w:rFonts w:eastAsia="Times New Roman" w:cstheme="minorHAnsi"/>
          <w:color w:val="000000"/>
          <w:lang w:eastAsia="en-PH"/>
        </w:rPr>
      </w:pPr>
      <w:r w:rsidRPr="00460E8B">
        <w:rPr>
          <w:rFonts w:eastAsia="Times New Roman" w:cstheme="minorHAnsi"/>
          <w:color w:val="000000"/>
          <w:u w:val="single"/>
          <w:lang w:eastAsia="en-PH"/>
        </w:rPr>
        <w:t>COMPROMISE AGREEMENT</w:t>
      </w:r>
    </w:p>
    <w:p w:rsidR="00460E8B" w:rsidRPr="00460E8B" w:rsidRDefault="00460E8B" w:rsidP="00460E8B">
      <w:pPr>
        <w:spacing w:after="0" w:line="240" w:lineRule="auto"/>
        <w:ind w:left="720"/>
        <w:rPr>
          <w:rFonts w:eastAsia="Times New Roman" w:cstheme="minorHAnsi"/>
          <w:color w:val="000000"/>
          <w:lang w:eastAsia="en-PH"/>
        </w:rPr>
      </w:pPr>
      <w:r w:rsidRPr="00460E8B">
        <w:rPr>
          <w:rFonts w:eastAsia="Times New Roman" w:cstheme="minorHAnsi"/>
          <w:color w:val="000000"/>
          <w:lang w:eastAsia="en-PH"/>
        </w:rPr>
        <w:br/>
        <w:t xml:space="preserve">COME NOW the parties, assisted by their respective counsel(s), and unto this </w:t>
      </w:r>
      <w:proofErr w:type="spellStart"/>
      <w:r w:rsidRPr="00460E8B">
        <w:rPr>
          <w:rFonts w:eastAsia="Times New Roman" w:cstheme="minorHAnsi"/>
          <w:color w:val="000000"/>
          <w:lang w:eastAsia="en-PH"/>
        </w:rPr>
        <w:t>Honorable</w:t>
      </w:r>
      <w:proofErr w:type="spellEnd"/>
      <w:r w:rsidRPr="00460E8B">
        <w:rPr>
          <w:rFonts w:eastAsia="Times New Roman" w:cstheme="minorHAnsi"/>
          <w:color w:val="000000"/>
          <w:lang w:eastAsia="en-PH"/>
        </w:rPr>
        <w:t xml:space="preserve"> Court respectfully submit this Compromise Agreement in full and final settlement of their differences, to wit:</w:t>
      </w:r>
    </w:p>
    <w:p w:rsidR="00460E8B" w:rsidRPr="00460E8B" w:rsidRDefault="00460E8B" w:rsidP="00460E8B">
      <w:pPr>
        <w:numPr>
          <w:ilvl w:val="0"/>
          <w:numId w:val="1"/>
        </w:numPr>
        <w:tabs>
          <w:tab w:val="clear" w:pos="720"/>
          <w:tab w:val="num" w:pos="1440"/>
        </w:tabs>
        <w:spacing w:before="100" w:beforeAutospacing="1" w:after="100" w:afterAutospacing="1" w:line="240" w:lineRule="auto"/>
        <w:ind w:left="1440"/>
        <w:rPr>
          <w:rFonts w:eastAsia="Times New Roman" w:cstheme="minorHAnsi"/>
          <w:color w:val="000000"/>
          <w:lang w:eastAsia="en-PH"/>
        </w:rPr>
      </w:pPr>
      <w:r w:rsidRPr="00460E8B">
        <w:rPr>
          <w:rFonts w:eastAsia="Times New Roman" w:cstheme="minorHAnsi"/>
          <w:color w:val="000000"/>
          <w:lang w:eastAsia="en-PH"/>
        </w:rPr>
        <w:t xml:space="preserve">The parties herein are the exclusive co-owners of that certain parcel of land located at the </w:t>
      </w:r>
      <w:proofErr w:type="spellStart"/>
      <w:r w:rsidRPr="00460E8B">
        <w:rPr>
          <w:rFonts w:eastAsia="Times New Roman" w:cstheme="minorHAnsi"/>
          <w:color w:val="000000"/>
          <w:lang w:eastAsia="en-PH"/>
        </w:rPr>
        <w:t>Poblacion</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Guimba</w:t>
      </w:r>
      <w:proofErr w:type="spellEnd"/>
      <w:r w:rsidRPr="00460E8B">
        <w:rPr>
          <w:rFonts w:eastAsia="Times New Roman" w:cstheme="minorHAnsi"/>
          <w:color w:val="000000"/>
          <w:lang w:eastAsia="en-PH"/>
        </w:rPr>
        <w:t xml:space="preserve">, Nueva </w:t>
      </w:r>
      <w:proofErr w:type="spellStart"/>
      <w:r w:rsidRPr="00460E8B">
        <w:rPr>
          <w:rFonts w:eastAsia="Times New Roman" w:cstheme="minorHAnsi"/>
          <w:color w:val="000000"/>
          <w:lang w:eastAsia="en-PH"/>
        </w:rPr>
        <w:t>Ecija</w:t>
      </w:r>
      <w:proofErr w:type="spellEnd"/>
      <w:r w:rsidRPr="00460E8B">
        <w:rPr>
          <w:rFonts w:eastAsia="Times New Roman" w:cstheme="minorHAnsi"/>
          <w:color w:val="000000"/>
          <w:lang w:eastAsia="en-PH"/>
        </w:rPr>
        <w:t xml:space="preserve">, known as Lot 1199, </w:t>
      </w:r>
      <w:proofErr w:type="spellStart"/>
      <w:r w:rsidRPr="00460E8B">
        <w:rPr>
          <w:rFonts w:eastAsia="Times New Roman" w:cstheme="minorHAnsi"/>
          <w:color w:val="000000"/>
          <w:lang w:eastAsia="en-PH"/>
        </w:rPr>
        <w:t>Guimba</w:t>
      </w:r>
      <w:proofErr w:type="spellEnd"/>
      <w:r w:rsidRPr="00460E8B">
        <w:rPr>
          <w:rFonts w:eastAsia="Times New Roman" w:cstheme="minorHAnsi"/>
          <w:color w:val="000000"/>
          <w:lang w:eastAsia="en-PH"/>
        </w:rPr>
        <w:t xml:space="preserve"> Cadastre and more particularly described as follows:</w:t>
      </w:r>
    </w:p>
    <w:p w:rsidR="00460E8B" w:rsidRPr="00460E8B" w:rsidRDefault="00460E8B" w:rsidP="00460E8B">
      <w:pPr>
        <w:spacing w:before="100" w:beforeAutospacing="1" w:after="100" w:afterAutospacing="1" w:line="240" w:lineRule="auto"/>
        <w:ind w:left="1440"/>
        <w:rPr>
          <w:rFonts w:eastAsia="Times New Roman" w:cstheme="minorHAnsi"/>
          <w:color w:val="000000"/>
          <w:lang w:eastAsia="en-PH"/>
        </w:rPr>
      </w:pPr>
      <w:r w:rsidRPr="00460E8B">
        <w:rPr>
          <w:rFonts w:eastAsia="Times New Roman" w:cstheme="minorHAnsi"/>
          <w:color w:val="000000"/>
          <w:lang w:eastAsia="en-PH"/>
        </w:rPr>
        <w:t xml:space="preserve">A parcel of land (Lot 1199, of the Cadastral Survey of </w:t>
      </w:r>
      <w:proofErr w:type="spellStart"/>
      <w:r w:rsidRPr="00460E8B">
        <w:rPr>
          <w:rFonts w:eastAsia="Times New Roman" w:cstheme="minorHAnsi"/>
          <w:color w:val="000000"/>
          <w:lang w:eastAsia="en-PH"/>
        </w:rPr>
        <w:t>Guimba</w:t>
      </w:r>
      <w:proofErr w:type="spellEnd"/>
      <w:r w:rsidRPr="00460E8B">
        <w:rPr>
          <w:rFonts w:eastAsia="Times New Roman" w:cstheme="minorHAnsi"/>
          <w:color w:val="000000"/>
          <w:lang w:eastAsia="en-PH"/>
        </w:rPr>
        <w:t xml:space="preserve"> Cad. 162, plan Ap-23418, L.R. Case No. G-51, L.R.C. Record No. </w:t>
      </w:r>
      <w:proofErr w:type="gramStart"/>
      <w:r w:rsidRPr="00460E8B">
        <w:rPr>
          <w:rFonts w:eastAsia="Times New Roman" w:cstheme="minorHAnsi"/>
          <w:color w:val="000000"/>
          <w:lang w:eastAsia="en-PH"/>
        </w:rPr>
        <w:t xml:space="preserve">N-40711), situated in the </w:t>
      </w:r>
      <w:proofErr w:type="spellStart"/>
      <w:r w:rsidRPr="00460E8B">
        <w:rPr>
          <w:rFonts w:eastAsia="Times New Roman" w:cstheme="minorHAnsi"/>
          <w:color w:val="000000"/>
          <w:lang w:eastAsia="en-PH"/>
        </w:rPr>
        <w:t>Poblacion</w:t>
      </w:r>
      <w:proofErr w:type="spellEnd"/>
      <w:r w:rsidRPr="00460E8B">
        <w:rPr>
          <w:rFonts w:eastAsia="Times New Roman" w:cstheme="minorHAnsi"/>
          <w:color w:val="000000"/>
          <w:lang w:eastAsia="en-PH"/>
        </w:rPr>
        <w:t xml:space="preserve">, Municipality of </w:t>
      </w:r>
      <w:proofErr w:type="spellStart"/>
      <w:r w:rsidRPr="00460E8B">
        <w:rPr>
          <w:rFonts w:eastAsia="Times New Roman" w:cstheme="minorHAnsi"/>
          <w:color w:val="000000"/>
          <w:lang w:eastAsia="en-PH"/>
        </w:rPr>
        <w:t>Guimba</w:t>
      </w:r>
      <w:proofErr w:type="spellEnd"/>
      <w:r w:rsidRPr="00460E8B">
        <w:rPr>
          <w:rFonts w:eastAsia="Times New Roman" w:cstheme="minorHAnsi"/>
          <w:color w:val="000000"/>
          <w:lang w:eastAsia="en-PH"/>
        </w:rPr>
        <w:t xml:space="preserve">, Province of Nueva </w:t>
      </w:r>
      <w:proofErr w:type="spellStart"/>
      <w:r w:rsidRPr="00460E8B">
        <w:rPr>
          <w:rFonts w:eastAsia="Times New Roman" w:cstheme="minorHAnsi"/>
          <w:color w:val="000000"/>
          <w:lang w:eastAsia="en-PH"/>
        </w:rPr>
        <w:t>Ecija</w:t>
      </w:r>
      <w:proofErr w:type="spellEnd"/>
      <w:r w:rsidRPr="00460E8B">
        <w:rPr>
          <w:rFonts w:eastAsia="Times New Roman" w:cstheme="minorHAnsi"/>
          <w:color w:val="000000"/>
          <w:lang w:eastAsia="en-PH"/>
        </w:rPr>
        <w:t>.</w:t>
      </w:r>
      <w:proofErr w:type="gramEnd"/>
      <w:r w:rsidRPr="00460E8B">
        <w:rPr>
          <w:rFonts w:eastAsia="Times New Roman" w:cstheme="minorHAnsi"/>
          <w:color w:val="000000"/>
          <w:lang w:eastAsia="en-PH"/>
        </w:rPr>
        <w:t xml:space="preserve"> </w:t>
      </w:r>
      <w:proofErr w:type="gramStart"/>
      <w:r w:rsidRPr="00460E8B">
        <w:rPr>
          <w:rFonts w:eastAsia="Times New Roman" w:cstheme="minorHAnsi"/>
          <w:color w:val="000000"/>
          <w:lang w:eastAsia="en-PH"/>
        </w:rPr>
        <w:t xml:space="preserve">x </w:t>
      </w:r>
      <w:proofErr w:type="spellStart"/>
      <w:r w:rsidRPr="00460E8B">
        <w:rPr>
          <w:rFonts w:eastAsia="Times New Roman" w:cstheme="minorHAnsi"/>
          <w:color w:val="000000"/>
          <w:lang w:eastAsia="en-PH"/>
        </w:rPr>
        <w:t>x</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x</w:t>
      </w:r>
      <w:proofErr w:type="spellEnd"/>
      <w:r w:rsidRPr="00460E8B">
        <w:rPr>
          <w:rFonts w:eastAsia="Times New Roman" w:cstheme="minorHAnsi"/>
          <w:color w:val="000000"/>
          <w:lang w:eastAsia="en-PH"/>
        </w:rPr>
        <w:t xml:space="preserve"> containing an area of TWO THOUSAND THREE HUNDRED AND THIRTY NINE (2,339) SQUARE METERS, more or less.</w:t>
      </w:r>
      <w:proofErr w:type="gramEnd"/>
      <w:r w:rsidRPr="00460E8B">
        <w:rPr>
          <w:rFonts w:eastAsia="Times New Roman" w:cstheme="minorHAnsi"/>
          <w:color w:val="000000"/>
          <w:lang w:eastAsia="en-PH"/>
        </w:rPr>
        <w:t xml:space="preserve"> </w:t>
      </w:r>
      <w:proofErr w:type="gramStart"/>
      <w:r w:rsidRPr="00460E8B">
        <w:rPr>
          <w:rFonts w:eastAsia="Times New Roman" w:cstheme="minorHAnsi"/>
          <w:color w:val="000000"/>
          <w:lang w:eastAsia="en-PH"/>
        </w:rPr>
        <w:t xml:space="preserve">x </w:t>
      </w:r>
      <w:proofErr w:type="spellStart"/>
      <w:r w:rsidRPr="00460E8B">
        <w:rPr>
          <w:rFonts w:eastAsia="Times New Roman" w:cstheme="minorHAnsi"/>
          <w:color w:val="000000"/>
          <w:lang w:eastAsia="en-PH"/>
        </w:rPr>
        <w:t>x</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x</w:t>
      </w:r>
      <w:proofErr w:type="spellEnd"/>
      <w:r w:rsidRPr="00460E8B">
        <w:rPr>
          <w:rFonts w:eastAsia="Times New Roman" w:cstheme="minorHAnsi"/>
          <w:color w:val="000000"/>
          <w:lang w:eastAsia="en-PH"/>
        </w:rPr>
        <w:t>.</w:t>
      </w:r>
      <w:proofErr w:type="gramEnd"/>
    </w:p>
    <w:p w:rsidR="00460E8B" w:rsidRPr="00460E8B" w:rsidRDefault="00460E8B" w:rsidP="00460E8B">
      <w:pPr>
        <w:spacing w:before="100" w:beforeAutospacing="1" w:after="240" w:line="240" w:lineRule="auto"/>
        <w:ind w:left="1440"/>
        <w:rPr>
          <w:rFonts w:eastAsia="Times New Roman" w:cstheme="minorHAnsi"/>
          <w:color w:val="000000"/>
          <w:lang w:eastAsia="en-PH"/>
        </w:rPr>
      </w:pPr>
      <w:r w:rsidRPr="00460E8B">
        <w:rPr>
          <w:rFonts w:eastAsia="Times New Roman" w:cstheme="minorHAnsi"/>
          <w:color w:val="000000"/>
          <w:lang w:eastAsia="en-PH"/>
        </w:rPr>
        <w:t xml:space="preserve">x </w:t>
      </w:r>
      <w:proofErr w:type="spellStart"/>
      <w:r w:rsidRPr="00460E8B">
        <w:rPr>
          <w:rFonts w:eastAsia="Times New Roman" w:cstheme="minorHAnsi"/>
          <w:color w:val="000000"/>
          <w:lang w:eastAsia="en-PH"/>
        </w:rPr>
        <w:t>x</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x</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x</w:t>
      </w:r>
      <w:proofErr w:type="spellEnd"/>
    </w:p>
    <w:p w:rsidR="00460E8B" w:rsidRPr="00460E8B" w:rsidRDefault="00460E8B" w:rsidP="00460E8B">
      <w:pPr>
        <w:numPr>
          <w:ilvl w:val="0"/>
          <w:numId w:val="1"/>
        </w:numPr>
        <w:spacing w:before="100" w:beforeAutospacing="1" w:after="240" w:line="240" w:lineRule="auto"/>
        <w:ind w:left="1440"/>
        <w:rPr>
          <w:rFonts w:eastAsia="Times New Roman" w:cstheme="minorHAnsi"/>
          <w:color w:val="000000"/>
          <w:lang w:eastAsia="en-PH"/>
        </w:rPr>
      </w:pPr>
      <w:r w:rsidRPr="00460E8B">
        <w:rPr>
          <w:rFonts w:eastAsia="Times New Roman" w:cstheme="minorHAnsi"/>
          <w:color w:val="000000"/>
          <w:lang w:eastAsia="en-PH"/>
        </w:rPr>
        <w:t xml:space="preserve">The herein parties recognize and acknowledge that their respective shares in the property aforementioned as appearing in the aforesaid Original Certificate of Title No. 130366 have been modified by agreement between them to allot a portion thereof to their co-owner, </w:t>
      </w:r>
      <w:proofErr w:type="spellStart"/>
      <w:r w:rsidRPr="00460E8B">
        <w:rPr>
          <w:rFonts w:eastAsia="Times New Roman" w:cstheme="minorHAnsi"/>
          <w:color w:val="000000"/>
          <w:lang w:eastAsia="en-PH"/>
        </w:rPr>
        <w:t>Vivencio</w:t>
      </w:r>
      <w:proofErr w:type="spellEnd"/>
      <w:r w:rsidRPr="00460E8B">
        <w:rPr>
          <w:rFonts w:eastAsia="Times New Roman" w:cstheme="minorHAnsi"/>
          <w:color w:val="000000"/>
          <w:lang w:eastAsia="en-PH"/>
        </w:rPr>
        <w:t xml:space="preserve"> M. Ruiz, to compensate for valuable services rendered to the parties vis-à-vis the said property, separate and apart from his rightful share therein as participating heir of Maria Medina;</w:t>
      </w:r>
    </w:p>
    <w:p w:rsidR="00460E8B" w:rsidRPr="00460E8B" w:rsidRDefault="00460E8B" w:rsidP="00460E8B">
      <w:pPr>
        <w:numPr>
          <w:ilvl w:val="0"/>
          <w:numId w:val="1"/>
        </w:numPr>
        <w:spacing w:before="100" w:beforeAutospacing="1" w:after="240" w:line="240" w:lineRule="auto"/>
        <w:ind w:left="1440"/>
        <w:rPr>
          <w:rFonts w:eastAsia="Times New Roman" w:cstheme="minorHAnsi"/>
          <w:color w:val="000000"/>
          <w:lang w:eastAsia="en-PH"/>
        </w:rPr>
      </w:pPr>
      <w:r w:rsidRPr="00460E8B">
        <w:rPr>
          <w:rFonts w:eastAsia="Times New Roman" w:cstheme="minorHAnsi"/>
          <w:color w:val="000000"/>
          <w:lang w:eastAsia="en-PH"/>
        </w:rPr>
        <w:t xml:space="preserve">The plaintiff </w:t>
      </w:r>
      <w:proofErr w:type="spellStart"/>
      <w:r w:rsidRPr="00460E8B">
        <w:rPr>
          <w:rFonts w:eastAsia="Times New Roman" w:cstheme="minorHAnsi"/>
          <w:color w:val="000000"/>
          <w:lang w:eastAsia="en-PH"/>
        </w:rPr>
        <w:t>Tirso</w:t>
      </w:r>
      <w:proofErr w:type="spellEnd"/>
      <w:r w:rsidRPr="00460E8B">
        <w:rPr>
          <w:rFonts w:eastAsia="Times New Roman" w:cstheme="minorHAnsi"/>
          <w:color w:val="000000"/>
          <w:lang w:eastAsia="en-PH"/>
        </w:rPr>
        <w:t xml:space="preserve"> Medina hereby withdraws any/all statements appearing on record which he may have made in said case in the course of his testimony therein, and hereby asks the </w:t>
      </w:r>
      <w:proofErr w:type="spellStart"/>
      <w:r w:rsidRPr="00460E8B">
        <w:rPr>
          <w:rFonts w:eastAsia="Times New Roman" w:cstheme="minorHAnsi"/>
          <w:color w:val="000000"/>
          <w:lang w:eastAsia="en-PH"/>
        </w:rPr>
        <w:t>Honorable</w:t>
      </w:r>
      <w:proofErr w:type="spellEnd"/>
      <w:r w:rsidRPr="00460E8B">
        <w:rPr>
          <w:rFonts w:eastAsia="Times New Roman" w:cstheme="minorHAnsi"/>
          <w:color w:val="000000"/>
          <w:lang w:eastAsia="en-PH"/>
        </w:rPr>
        <w:t xml:space="preserve"> Court that said statements be expunged or withdrawn from the record;</w:t>
      </w:r>
    </w:p>
    <w:p w:rsidR="00460E8B" w:rsidRPr="00460E8B" w:rsidRDefault="00460E8B" w:rsidP="00460E8B">
      <w:pPr>
        <w:numPr>
          <w:ilvl w:val="0"/>
          <w:numId w:val="1"/>
        </w:numPr>
        <w:spacing w:before="100" w:beforeAutospacing="1" w:after="240" w:line="240" w:lineRule="auto"/>
        <w:ind w:left="1440"/>
        <w:rPr>
          <w:rFonts w:eastAsia="Times New Roman" w:cstheme="minorHAnsi"/>
          <w:color w:val="000000"/>
          <w:lang w:eastAsia="en-PH"/>
        </w:rPr>
      </w:pPr>
      <w:r w:rsidRPr="00460E8B">
        <w:rPr>
          <w:rFonts w:eastAsia="Times New Roman" w:cstheme="minorHAnsi"/>
          <w:color w:val="000000"/>
          <w:lang w:eastAsia="en-PH"/>
        </w:rPr>
        <w:t xml:space="preserve">The foregoing considered, the parties have determined that it is to their mutual convenience and advantage, and in accord with their common desire to preserve and maintain the existing family harmony and solidarity to terminate their present community of ownership in the property aforementioned by mutual agreement and </w:t>
      </w:r>
      <w:r w:rsidRPr="00460E8B">
        <w:rPr>
          <w:rFonts w:eastAsia="Times New Roman" w:cstheme="minorHAnsi"/>
          <w:color w:val="000000"/>
          <w:lang w:eastAsia="en-PH"/>
        </w:rPr>
        <w:lastRenderedPageBreak/>
        <w:t>adjudication, in the manner appearing in the Sketch Plan of Partition attached as an integral part hereof as Annex "A" where the property is subdivided into Lot 1, 2, 3, 4, 5, and 6 and adjudicated, as follows:</w:t>
      </w:r>
    </w:p>
    <w:p w:rsidR="00460E8B" w:rsidRPr="00460E8B" w:rsidRDefault="00460E8B" w:rsidP="00460E8B">
      <w:pPr>
        <w:numPr>
          <w:ilvl w:val="1"/>
          <w:numId w:val="1"/>
        </w:numPr>
        <w:spacing w:before="100" w:beforeAutospacing="1" w:after="240" w:line="240" w:lineRule="auto"/>
        <w:ind w:left="2160"/>
        <w:rPr>
          <w:rFonts w:eastAsia="Times New Roman" w:cstheme="minorHAnsi"/>
          <w:color w:val="000000"/>
          <w:lang w:eastAsia="en-PH"/>
        </w:rPr>
      </w:pPr>
      <w:r w:rsidRPr="00460E8B">
        <w:rPr>
          <w:rFonts w:eastAsia="Times New Roman" w:cstheme="minorHAnsi"/>
          <w:color w:val="000000"/>
          <w:lang w:eastAsia="en-PH"/>
        </w:rPr>
        <w:t xml:space="preserve">To </w:t>
      </w:r>
      <w:proofErr w:type="spellStart"/>
      <w:r w:rsidRPr="00460E8B">
        <w:rPr>
          <w:rFonts w:eastAsia="Times New Roman" w:cstheme="minorHAnsi"/>
          <w:color w:val="000000"/>
          <w:lang w:eastAsia="en-PH"/>
        </w:rPr>
        <w:t>Bonifacio</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 Lot No. 1, consisting of 480 square meters, more or less, representing the interests of Dominica Medina which was sold to him per document of "Sale of Rights, Waiver and Renunciation" appearing as Doc. No. 367; Page No. 75; Book No. 10; Series of 1968 in the Notarial Register of Atty.</w:t>
      </w:r>
    </w:p>
    <w:p w:rsidR="00460E8B" w:rsidRPr="00460E8B" w:rsidRDefault="00460E8B" w:rsidP="00460E8B">
      <w:pPr>
        <w:numPr>
          <w:ilvl w:val="1"/>
          <w:numId w:val="1"/>
        </w:numPr>
        <w:spacing w:before="100" w:beforeAutospacing="1" w:after="240" w:line="240" w:lineRule="auto"/>
        <w:ind w:left="2160"/>
        <w:rPr>
          <w:rFonts w:eastAsia="Times New Roman" w:cstheme="minorHAnsi"/>
          <w:color w:val="000000"/>
          <w:lang w:eastAsia="en-PH"/>
        </w:rPr>
      </w:pPr>
      <w:r w:rsidRPr="00460E8B">
        <w:rPr>
          <w:rFonts w:eastAsia="Times New Roman" w:cstheme="minorHAnsi"/>
          <w:color w:val="000000"/>
          <w:lang w:eastAsia="en-PH"/>
        </w:rPr>
        <w:t>To VIVENCIO M. RUIZ, Lot No. 3 consisting of 370.21 square meters, more or less, as compensation for valuable services rendered; free and clear from any/all liens or encumbrances whatsoever or from the claims of any person whomsoever, except the present tenant/s thereon;</w:t>
      </w:r>
    </w:p>
    <w:p w:rsidR="00460E8B" w:rsidRPr="00460E8B" w:rsidRDefault="00460E8B" w:rsidP="00460E8B">
      <w:pPr>
        <w:numPr>
          <w:ilvl w:val="1"/>
          <w:numId w:val="1"/>
        </w:numPr>
        <w:spacing w:before="100" w:beforeAutospacing="1" w:after="240" w:line="240" w:lineRule="auto"/>
        <w:ind w:left="2160"/>
        <w:rPr>
          <w:rFonts w:eastAsia="Times New Roman" w:cstheme="minorHAnsi"/>
          <w:color w:val="000000"/>
          <w:lang w:eastAsia="en-PH"/>
        </w:rPr>
      </w:pPr>
      <w:r w:rsidRPr="00460E8B">
        <w:rPr>
          <w:rFonts w:eastAsia="Times New Roman" w:cstheme="minorHAnsi"/>
          <w:color w:val="000000"/>
          <w:lang w:eastAsia="en-PH"/>
        </w:rPr>
        <w:t>To the heirs of MARIA MEDINA, Lot No. 2 consisting of 370.21 square meters, more or less, without prejudice to sales and dispositions already made by the respective heirs of their interests and participations therein;</w:t>
      </w:r>
    </w:p>
    <w:p w:rsidR="00460E8B" w:rsidRPr="00460E8B" w:rsidRDefault="00460E8B" w:rsidP="00460E8B">
      <w:pPr>
        <w:numPr>
          <w:ilvl w:val="1"/>
          <w:numId w:val="1"/>
        </w:numPr>
        <w:spacing w:before="100" w:beforeAutospacing="1" w:after="240" w:line="240" w:lineRule="auto"/>
        <w:ind w:left="2160"/>
        <w:rPr>
          <w:rFonts w:eastAsia="Times New Roman" w:cstheme="minorHAnsi"/>
          <w:color w:val="000000"/>
          <w:lang w:eastAsia="en-PH"/>
        </w:rPr>
      </w:pPr>
      <w:r w:rsidRPr="00460E8B">
        <w:rPr>
          <w:rFonts w:eastAsia="Times New Roman" w:cstheme="minorHAnsi"/>
          <w:color w:val="000000"/>
          <w:lang w:eastAsia="en-PH"/>
        </w:rPr>
        <w:t>To TIRSO MEDINA, Lot No. 4 consisting of 369.29 square meters, more or less;</w:t>
      </w:r>
    </w:p>
    <w:p w:rsidR="00460E8B" w:rsidRPr="00460E8B" w:rsidRDefault="00460E8B" w:rsidP="00460E8B">
      <w:pPr>
        <w:numPr>
          <w:ilvl w:val="1"/>
          <w:numId w:val="1"/>
        </w:numPr>
        <w:spacing w:before="100" w:beforeAutospacing="1" w:after="240" w:line="240" w:lineRule="auto"/>
        <w:ind w:left="2160"/>
        <w:rPr>
          <w:rFonts w:eastAsia="Times New Roman" w:cstheme="minorHAnsi"/>
          <w:color w:val="000000"/>
          <w:lang w:eastAsia="en-PH"/>
        </w:rPr>
      </w:pPr>
      <w:r w:rsidRPr="00460E8B">
        <w:rPr>
          <w:rFonts w:eastAsia="Times New Roman" w:cstheme="minorHAnsi"/>
          <w:color w:val="000000"/>
          <w:lang w:eastAsia="en-PH"/>
        </w:rPr>
        <w:t>To the heirs of PACIFICO M. RUIZ, Lot No. 5 consisting of 369.29 square meters, more or less, and</w:t>
      </w:r>
    </w:p>
    <w:p w:rsidR="00460E8B" w:rsidRPr="00460E8B" w:rsidRDefault="00460E8B" w:rsidP="00460E8B">
      <w:pPr>
        <w:numPr>
          <w:ilvl w:val="1"/>
          <w:numId w:val="1"/>
        </w:numPr>
        <w:spacing w:before="100" w:beforeAutospacing="1" w:after="100" w:afterAutospacing="1" w:line="240" w:lineRule="auto"/>
        <w:ind w:left="2160"/>
        <w:rPr>
          <w:rFonts w:ascii="Verdana" w:eastAsia="Times New Roman" w:hAnsi="Verdana" w:cs="Times New Roman"/>
          <w:color w:val="000000"/>
          <w:lang w:eastAsia="en-PH"/>
        </w:rPr>
      </w:pPr>
      <w:r w:rsidRPr="00460E8B">
        <w:rPr>
          <w:rFonts w:eastAsia="Times New Roman" w:cstheme="minorHAnsi"/>
          <w:color w:val="000000"/>
          <w:lang w:eastAsia="en-PH"/>
        </w:rPr>
        <w:t>To GORGONIA MEDINA, Lot No. 6, consisting of 369.29 square meters, more or less.</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7"/>
      </w:r>
      <w:r w:rsidRPr="00460E8B">
        <w:rPr>
          <w:rFonts w:ascii="Verdana" w:eastAsia="Times New Roman" w:hAnsi="Verdana" w:cs="Times New Roman"/>
          <w:color w:val="FF0000"/>
          <w:vertAlign w:val="superscript"/>
          <w:lang w:eastAsia="en-PH"/>
        </w:rPr>
        <w:t>]</w:t>
      </w:r>
    </w:p>
    <w:p w:rsidR="00460E8B" w:rsidRP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On 8 October 1991, the trial court issued an order supplementing its decision dated 20 November 1989 which reads in part:</w:t>
      </w:r>
    </w:p>
    <w:p w:rsidR="00460E8B" w:rsidRDefault="00460E8B" w:rsidP="00460E8B">
      <w:pPr>
        <w:spacing w:after="0" w:line="240" w:lineRule="auto"/>
        <w:rPr>
          <w:rFonts w:ascii="Verdana" w:eastAsia="Times New Roman" w:hAnsi="Verdana" w:cs="Times New Roman"/>
          <w:color w:val="000000"/>
          <w:lang w:eastAsia="en-PH"/>
        </w:rPr>
      </w:pPr>
    </w:p>
    <w:p w:rsidR="00460E8B" w:rsidRPr="00460E8B" w:rsidRDefault="00460E8B" w:rsidP="00460E8B">
      <w:pPr>
        <w:spacing w:after="0" w:line="240" w:lineRule="auto"/>
        <w:ind w:left="720"/>
        <w:rPr>
          <w:rFonts w:ascii="Verdana" w:eastAsia="Times New Roman" w:hAnsi="Verdana" w:cs="Times New Roman"/>
          <w:color w:val="000000"/>
          <w:lang w:eastAsia="en-PH"/>
        </w:rPr>
      </w:pPr>
      <w:r w:rsidRPr="00460E8B">
        <w:rPr>
          <w:rFonts w:eastAsia="Times New Roman" w:cstheme="minorHAnsi"/>
          <w:color w:val="000000"/>
          <w:lang w:eastAsia="en-PH"/>
        </w:rPr>
        <w:t xml:space="preserve">[T[hat the parties thereafter, engaged the services of one common geodetic engineer in the person of </w:t>
      </w:r>
      <w:proofErr w:type="spellStart"/>
      <w:r w:rsidRPr="00460E8B">
        <w:rPr>
          <w:rFonts w:eastAsia="Times New Roman" w:cstheme="minorHAnsi"/>
          <w:color w:val="000000"/>
          <w:lang w:eastAsia="en-PH"/>
        </w:rPr>
        <w:t>Rolly</w:t>
      </w:r>
      <w:proofErr w:type="spellEnd"/>
      <w:r w:rsidRPr="00460E8B">
        <w:rPr>
          <w:rFonts w:eastAsia="Times New Roman" w:cstheme="minorHAnsi"/>
          <w:color w:val="000000"/>
          <w:lang w:eastAsia="en-PH"/>
        </w:rPr>
        <w:t xml:space="preserve"> Francisco to conduct the survey and effect the subdivision of Lot 1199, which was subdivided into Lots A, B, C, D, E, and F, the area of which appears, thus:</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1199-A with an area of 371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which lot now corresponds to Lot No. 4 adjudicated to </w:t>
      </w:r>
      <w:proofErr w:type="spellStart"/>
      <w:r w:rsidRPr="00460E8B">
        <w:rPr>
          <w:rFonts w:eastAsia="Times New Roman" w:cstheme="minorHAnsi"/>
          <w:color w:val="000000"/>
          <w:lang w:eastAsia="en-PH"/>
        </w:rPr>
        <w:t>Tirso</w:t>
      </w:r>
      <w:proofErr w:type="spellEnd"/>
      <w:r w:rsidRPr="00460E8B">
        <w:rPr>
          <w:rFonts w:eastAsia="Times New Roman" w:cstheme="minorHAnsi"/>
          <w:color w:val="000000"/>
          <w:lang w:eastAsia="en-PH"/>
        </w:rPr>
        <w:t xml:space="preserve"> Medina;</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1199-B with an area of 371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which lot now corresponds to Lot No. 5 adjudicated to </w:t>
      </w:r>
      <w:proofErr w:type="spellStart"/>
      <w:r w:rsidRPr="00460E8B">
        <w:rPr>
          <w:rFonts w:eastAsia="Times New Roman" w:cstheme="minorHAnsi"/>
          <w:color w:val="000000"/>
          <w:lang w:eastAsia="en-PH"/>
        </w:rPr>
        <w:t>Pacifico</w:t>
      </w:r>
      <w:proofErr w:type="spellEnd"/>
      <w:r w:rsidRPr="00460E8B">
        <w:rPr>
          <w:rFonts w:eastAsia="Times New Roman" w:cstheme="minorHAnsi"/>
          <w:color w:val="000000"/>
          <w:lang w:eastAsia="en-PH"/>
        </w:rPr>
        <w:t xml:space="preserve"> Ruiz;</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1199-C with an area of 371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which lot now corresponds to Lot No. 6 adjudicated to Gorgonio Medina;</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1199-D with an area of 482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which lot now corresponds to Lot No. 1 adjudicated to </w:t>
      </w:r>
      <w:proofErr w:type="spellStart"/>
      <w:r w:rsidRPr="00460E8B">
        <w:rPr>
          <w:rFonts w:eastAsia="Times New Roman" w:cstheme="minorHAnsi"/>
          <w:color w:val="000000"/>
          <w:lang w:eastAsia="en-PH"/>
        </w:rPr>
        <w:t>Bonifacio</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1199-E with an area of 372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which lot now corresponds to Lot No. 2 adjudicated to Heirs of Maria Medina; and</w:t>
      </w:r>
      <w:r w:rsidRPr="00460E8B">
        <w:rPr>
          <w:rFonts w:eastAsia="Times New Roman" w:cstheme="minorHAnsi"/>
          <w:color w:val="000000"/>
          <w:lang w:eastAsia="en-PH"/>
        </w:rPr>
        <w:br/>
      </w:r>
      <w:r w:rsidRPr="00460E8B">
        <w:rPr>
          <w:rFonts w:eastAsia="Times New Roman" w:cstheme="minorHAnsi"/>
          <w:color w:val="000000"/>
          <w:lang w:eastAsia="en-PH"/>
        </w:rPr>
        <w:br/>
      </w:r>
      <w:r w:rsidRPr="00460E8B">
        <w:rPr>
          <w:rFonts w:eastAsia="Times New Roman" w:cstheme="minorHAnsi"/>
          <w:color w:val="000000"/>
          <w:lang w:eastAsia="en-PH"/>
        </w:rPr>
        <w:lastRenderedPageBreak/>
        <w:t xml:space="preserve">Lot 1199-F with an area of 372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which lot now corresponds to Lot No. 3 adjudicated to </w:t>
      </w:r>
      <w:proofErr w:type="spellStart"/>
      <w:r w:rsidRPr="00460E8B">
        <w:rPr>
          <w:rFonts w:eastAsia="Times New Roman" w:cstheme="minorHAnsi"/>
          <w:color w:val="000000"/>
          <w:lang w:eastAsia="en-PH"/>
        </w:rPr>
        <w:t>Vivencio</w:t>
      </w:r>
      <w:proofErr w:type="spellEnd"/>
      <w:r w:rsidRPr="00460E8B">
        <w:rPr>
          <w:rFonts w:eastAsia="Times New Roman" w:cstheme="minorHAnsi"/>
          <w:color w:val="000000"/>
          <w:lang w:eastAsia="en-PH"/>
        </w:rPr>
        <w:t xml:space="preserve"> M. Ruiz; that in this subdivision made by the geodetic engineer, there was no change in the designation of the particular places adjudicated to the parties, except the change in areas allotted after the actual survey made.</w:t>
      </w:r>
      <w:r w:rsidRPr="00460E8B">
        <w:rPr>
          <w:rFonts w:eastAsia="Times New Roman" w:cstheme="minorHAnsi"/>
          <w:color w:val="000000"/>
          <w:lang w:eastAsia="en-PH"/>
        </w:rPr>
        <w:br/>
      </w:r>
      <w:r w:rsidRPr="00460E8B">
        <w:rPr>
          <w:rFonts w:eastAsia="Times New Roman" w:cstheme="minorHAnsi"/>
          <w:color w:val="000000"/>
          <w:lang w:eastAsia="en-PH"/>
        </w:rPr>
        <w:br/>
        <w:t>WHEREFORE, finding the motion to be in order, the Court resolves to grant the same and hereby orders, that:</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1199-A with an area of 371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is Lot 4, decision, adjudicated to </w:t>
      </w:r>
      <w:proofErr w:type="spellStart"/>
      <w:r w:rsidRPr="00460E8B">
        <w:rPr>
          <w:rFonts w:eastAsia="Times New Roman" w:cstheme="minorHAnsi"/>
          <w:color w:val="000000"/>
          <w:lang w:eastAsia="en-PH"/>
        </w:rPr>
        <w:t>Tirso</w:t>
      </w:r>
      <w:proofErr w:type="spellEnd"/>
      <w:r w:rsidRPr="00460E8B">
        <w:rPr>
          <w:rFonts w:eastAsia="Times New Roman" w:cstheme="minorHAnsi"/>
          <w:color w:val="000000"/>
          <w:lang w:eastAsia="en-PH"/>
        </w:rPr>
        <w:t xml:space="preserve"> Medina;</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1199-B with an area of 371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is Lot 5, decision, adjudicated to </w:t>
      </w:r>
      <w:proofErr w:type="spellStart"/>
      <w:r w:rsidRPr="00460E8B">
        <w:rPr>
          <w:rFonts w:eastAsia="Times New Roman" w:cstheme="minorHAnsi"/>
          <w:color w:val="000000"/>
          <w:lang w:eastAsia="en-PH"/>
        </w:rPr>
        <w:t>Pacifico</w:t>
      </w:r>
      <w:proofErr w:type="spellEnd"/>
      <w:r w:rsidRPr="00460E8B">
        <w:rPr>
          <w:rFonts w:eastAsia="Times New Roman" w:cstheme="minorHAnsi"/>
          <w:color w:val="000000"/>
          <w:lang w:eastAsia="en-PH"/>
        </w:rPr>
        <w:t xml:space="preserve"> Ruiz;</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1199-C with an area of 371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is Lot 6, decision, adjudicated to Gorgonio Medina;</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1199-D with an area of 482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is Lot 1, decision, adjudicated to </w:t>
      </w:r>
      <w:proofErr w:type="spellStart"/>
      <w:r w:rsidRPr="00460E8B">
        <w:rPr>
          <w:rFonts w:eastAsia="Times New Roman" w:cstheme="minorHAnsi"/>
          <w:color w:val="000000"/>
          <w:lang w:eastAsia="en-PH"/>
        </w:rPr>
        <w:t>Bonifacio</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1199-E with an area of 372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is Lot 2, decision, adjudicated to Heirs of Maria Medina;</w:t>
      </w:r>
      <w:r w:rsidRPr="00460E8B">
        <w:rPr>
          <w:rFonts w:eastAsia="Times New Roman" w:cstheme="minorHAnsi"/>
          <w:color w:val="000000"/>
          <w:lang w:eastAsia="en-PH"/>
        </w:rPr>
        <w:br/>
      </w:r>
      <w:r w:rsidRPr="00460E8B">
        <w:rPr>
          <w:rFonts w:eastAsia="Times New Roman" w:cstheme="minorHAnsi"/>
          <w:color w:val="000000"/>
          <w:lang w:eastAsia="en-PH"/>
        </w:rPr>
        <w:br/>
        <w:t xml:space="preserve">Lot 1199-F with an area of 372 sq. </w:t>
      </w:r>
      <w:proofErr w:type="spellStart"/>
      <w:r w:rsidRPr="00460E8B">
        <w:rPr>
          <w:rFonts w:eastAsia="Times New Roman" w:cstheme="minorHAnsi"/>
          <w:color w:val="000000"/>
          <w:lang w:eastAsia="en-PH"/>
        </w:rPr>
        <w:t>ms.</w:t>
      </w:r>
      <w:proofErr w:type="spellEnd"/>
      <w:r w:rsidRPr="00460E8B">
        <w:rPr>
          <w:rFonts w:eastAsia="Times New Roman" w:cstheme="minorHAnsi"/>
          <w:color w:val="000000"/>
          <w:lang w:eastAsia="en-PH"/>
        </w:rPr>
        <w:t xml:space="preserve"> is Lot 3, decision, adjudicated to </w:t>
      </w:r>
      <w:proofErr w:type="spellStart"/>
      <w:r w:rsidRPr="00460E8B">
        <w:rPr>
          <w:rFonts w:eastAsia="Times New Roman" w:cstheme="minorHAnsi"/>
          <w:color w:val="000000"/>
          <w:lang w:eastAsia="en-PH"/>
        </w:rPr>
        <w:t>Vivencio</w:t>
      </w:r>
      <w:proofErr w:type="spellEnd"/>
      <w:r w:rsidRPr="00460E8B">
        <w:rPr>
          <w:rFonts w:eastAsia="Times New Roman" w:cstheme="minorHAnsi"/>
          <w:color w:val="000000"/>
          <w:lang w:eastAsia="en-PH"/>
        </w:rPr>
        <w:t xml:space="preserve"> M. Ruiz.</w:t>
      </w:r>
      <w:r w:rsidRPr="00460E8B">
        <w:rPr>
          <w:rFonts w:eastAsia="Times New Roman" w:cstheme="minorHAnsi"/>
          <w:color w:val="000000"/>
          <w:lang w:eastAsia="en-PH"/>
        </w:rPr>
        <w:br/>
      </w:r>
      <w:r w:rsidRPr="00460E8B">
        <w:rPr>
          <w:rFonts w:eastAsia="Times New Roman" w:cstheme="minorHAnsi"/>
          <w:color w:val="000000"/>
          <w:lang w:eastAsia="en-PH"/>
        </w:rPr>
        <w:br/>
        <w:t>This Order supplements the Decision dated November 20, 1989</w:t>
      </w:r>
      <w:r w:rsidRPr="00460E8B">
        <w:rPr>
          <w:rFonts w:ascii="Verdana" w:eastAsia="Times New Roman" w:hAnsi="Verdana" w:cs="Times New Roman"/>
          <w:color w:val="000000"/>
          <w:lang w:eastAsia="en-PH"/>
        </w:rPr>
        <w:t>.</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8"/>
      </w:r>
      <w:r w:rsidRPr="00460E8B">
        <w:rPr>
          <w:rFonts w:ascii="Verdana" w:eastAsia="Times New Roman" w:hAnsi="Verdana" w:cs="Times New Roman"/>
          <w:color w:val="FF0000"/>
          <w:vertAlign w:val="superscript"/>
          <w:lang w:eastAsia="en-PH"/>
        </w:rPr>
        <w:t>]</w:t>
      </w:r>
    </w:p>
    <w:p w:rsidR="00460E8B" w:rsidRDefault="00460E8B" w:rsidP="00460E8B">
      <w:pPr>
        <w:spacing w:after="0" w:line="240" w:lineRule="auto"/>
        <w:rPr>
          <w:rFonts w:ascii="Verdana" w:eastAsia="Times New Roman" w:hAnsi="Verdana" w:cs="Times New Roman"/>
          <w:color w:val="000000"/>
          <w:lang w:eastAsia="en-PH"/>
        </w:rPr>
      </w:pPr>
    </w:p>
    <w:p w:rsidR="00460E8B" w:rsidRP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 xml:space="preserve">Pursuant to the court-approved partition, Lot 1199-C, measuring 371 square meters, was registered in the name of Gorgonio Median for which Transfer Certificate of Title (TCT) No. NT-230248 of the Registry of Deeds for the Province of Nueva </w:t>
      </w:r>
      <w:proofErr w:type="spellStart"/>
      <w:r w:rsidRPr="00460E8B">
        <w:rPr>
          <w:rFonts w:ascii="Verdana" w:eastAsia="Times New Roman" w:hAnsi="Verdana" w:cs="Times New Roman"/>
          <w:color w:val="000000"/>
          <w:lang w:eastAsia="en-PH"/>
        </w:rPr>
        <w:t>Ecija</w:t>
      </w:r>
      <w:proofErr w:type="spellEnd"/>
      <w:r w:rsidRPr="00460E8B">
        <w:rPr>
          <w:rFonts w:ascii="Verdana" w:eastAsia="Times New Roman" w:hAnsi="Verdana" w:cs="Times New Roman"/>
          <w:color w:val="000000"/>
          <w:lang w:eastAsia="en-PH"/>
        </w:rPr>
        <w:t xml:space="preserve"> was issued to him.</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9"/>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On 11 June 2001,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thru his alleged Attorney-In-Fact, Philip M.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filed before the RTC of </w:t>
      </w:r>
      <w:proofErr w:type="spellStart"/>
      <w:r w:rsidRPr="00460E8B">
        <w:rPr>
          <w:rFonts w:ascii="Verdana" w:eastAsia="Times New Roman" w:hAnsi="Verdana" w:cs="Times New Roman"/>
          <w:color w:val="000000"/>
          <w:lang w:eastAsia="en-PH"/>
        </w:rPr>
        <w:t>Guimba</w:t>
      </w:r>
      <w:proofErr w:type="spellEnd"/>
      <w:r w:rsidRPr="00460E8B">
        <w:rPr>
          <w:rFonts w:ascii="Verdana" w:eastAsia="Times New Roman" w:hAnsi="Verdana" w:cs="Times New Roman"/>
          <w:color w:val="000000"/>
          <w:lang w:eastAsia="en-PH"/>
        </w:rPr>
        <w:t xml:space="preserve">, Nueva </w:t>
      </w:r>
      <w:proofErr w:type="spellStart"/>
      <w:r w:rsidRPr="00460E8B">
        <w:rPr>
          <w:rFonts w:ascii="Verdana" w:eastAsia="Times New Roman" w:hAnsi="Verdana" w:cs="Times New Roman"/>
          <w:color w:val="000000"/>
          <w:lang w:eastAsia="en-PH"/>
        </w:rPr>
        <w:t>Ecija</w:t>
      </w:r>
      <w:proofErr w:type="spellEnd"/>
      <w:r w:rsidRPr="00460E8B">
        <w:rPr>
          <w:rFonts w:ascii="Verdana" w:eastAsia="Times New Roman" w:hAnsi="Verdana" w:cs="Times New Roman"/>
          <w:color w:val="000000"/>
          <w:lang w:eastAsia="en-PH"/>
        </w:rPr>
        <w:t xml:space="preserve">, Branch 31, a Complaint for Annulment of TCT No. </w:t>
      </w:r>
      <w:proofErr w:type="gramStart"/>
      <w:r w:rsidRPr="00460E8B">
        <w:rPr>
          <w:rFonts w:ascii="Verdana" w:eastAsia="Times New Roman" w:hAnsi="Verdana" w:cs="Times New Roman"/>
          <w:color w:val="000000"/>
          <w:lang w:eastAsia="en-PH"/>
        </w:rPr>
        <w:t>NT-230248 and Damages.</w:t>
      </w:r>
      <w:proofErr w:type="gramEnd"/>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0"/>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It impleaded as respondents </w:t>
      </w:r>
      <w:proofErr w:type="spellStart"/>
      <w:r w:rsidRPr="00460E8B">
        <w:rPr>
          <w:rFonts w:ascii="Verdana" w:eastAsia="Times New Roman" w:hAnsi="Verdana" w:cs="Times New Roman"/>
          <w:color w:val="000000"/>
          <w:lang w:eastAsia="en-PH"/>
        </w:rPr>
        <w:t>Abiel</w:t>
      </w:r>
      <w:proofErr w:type="spellEnd"/>
      <w:r w:rsidRPr="00460E8B">
        <w:rPr>
          <w:rFonts w:ascii="Verdana" w:eastAsia="Times New Roman" w:hAnsi="Verdana" w:cs="Times New Roman"/>
          <w:color w:val="000000"/>
          <w:lang w:eastAsia="en-PH"/>
        </w:rPr>
        <w:t xml:space="preserve"> Medina and Veronica de Guzman who are occupying the said land.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asks, among other things, that 1/3 of said land be surrendered to him because he had bought the same from Gorgonio Medina. In the Answer</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1"/>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filed by </w:t>
      </w:r>
      <w:proofErr w:type="spellStart"/>
      <w:r w:rsidRPr="00460E8B">
        <w:rPr>
          <w:rFonts w:ascii="Verdana" w:eastAsia="Times New Roman" w:hAnsi="Verdana" w:cs="Times New Roman"/>
          <w:color w:val="000000"/>
          <w:lang w:eastAsia="en-PH"/>
        </w:rPr>
        <w:t>Abiel</w:t>
      </w:r>
      <w:proofErr w:type="spellEnd"/>
      <w:r w:rsidRPr="00460E8B">
        <w:rPr>
          <w:rFonts w:ascii="Verdana" w:eastAsia="Times New Roman" w:hAnsi="Verdana" w:cs="Times New Roman"/>
          <w:color w:val="000000"/>
          <w:lang w:eastAsia="en-PH"/>
        </w:rPr>
        <w:t xml:space="preserve"> Medina and Veronica de Guzman, they argued, </w:t>
      </w:r>
      <w:r w:rsidRPr="00460E8B">
        <w:rPr>
          <w:rFonts w:ascii="Verdana" w:eastAsia="Times New Roman" w:hAnsi="Verdana" w:cs="Times New Roman"/>
          <w:i/>
          <w:iCs/>
          <w:color w:val="000000"/>
          <w:lang w:eastAsia="en-PH"/>
        </w:rPr>
        <w:t>inter alia</w:t>
      </w:r>
      <w:r w:rsidRPr="00460E8B">
        <w:rPr>
          <w:rFonts w:ascii="Verdana" w:eastAsia="Times New Roman" w:hAnsi="Verdana" w:cs="Times New Roman"/>
          <w:color w:val="000000"/>
          <w:lang w:eastAsia="en-PH"/>
        </w:rPr>
        <w:t xml:space="preserve">, that Philip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had no legal capacity to sue because the Special Power of Attorney annexed to the Complaint did not grant him such authority. They further added that the Complaint failed to implead all the parties-in-interest considering that the ownership of the land covered by TCT No. NT-230248 had already passed to eleven heirs of Gorgonio Medina.</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thru Philip, filed a Motion for Bill of Particulars</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2"/>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praying that an order be issued by the court directing </w:t>
      </w:r>
      <w:proofErr w:type="spellStart"/>
      <w:r w:rsidRPr="00460E8B">
        <w:rPr>
          <w:rFonts w:ascii="Verdana" w:eastAsia="Times New Roman" w:hAnsi="Verdana" w:cs="Times New Roman"/>
          <w:color w:val="000000"/>
          <w:lang w:eastAsia="en-PH"/>
        </w:rPr>
        <w:t>Abiel</w:t>
      </w:r>
      <w:proofErr w:type="spellEnd"/>
      <w:r w:rsidRPr="00460E8B">
        <w:rPr>
          <w:rFonts w:ascii="Verdana" w:eastAsia="Times New Roman" w:hAnsi="Verdana" w:cs="Times New Roman"/>
          <w:color w:val="000000"/>
          <w:lang w:eastAsia="en-PH"/>
        </w:rPr>
        <w:t xml:space="preserve"> Medina and Veronica de Guzman to give </w:t>
      </w:r>
      <w:proofErr w:type="gramStart"/>
      <w:r w:rsidRPr="00460E8B">
        <w:rPr>
          <w:rFonts w:ascii="Verdana" w:eastAsia="Times New Roman" w:hAnsi="Verdana" w:cs="Times New Roman"/>
          <w:color w:val="000000"/>
          <w:lang w:eastAsia="en-PH"/>
        </w:rPr>
        <w:t>the</w:t>
      </w:r>
      <w:proofErr w:type="gramEnd"/>
      <w:r w:rsidRPr="00460E8B">
        <w:rPr>
          <w:rFonts w:ascii="Verdana" w:eastAsia="Times New Roman" w:hAnsi="Verdana" w:cs="Times New Roman"/>
          <w:color w:val="000000"/>
          <w:lang w:eastAsia="en-PH"/>
        </w:rPr>
        <w:t xml:space="preserve"> names and present addresses of all the heirs of Gorgonio Medina. Said motion was opposed.</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3"/>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In an order dated 15 October 2001, the trial court </w:t>
      </w:r>
      <w:r w:rsidRPr="00460E8B">
        <w:rPr>
          <w:rFonts w:ascii="Verdana" w:eastAsia="Times New Roman" w:hAnsi="Verdana" w:cs="Times New Roman"/>
          <w:color w:val="000000"/>
          <w:lang w:eastAsia="en-PH"/>
        </w:rPr>
        <w:lastRenderedPageBreak/>
        <w:t>granted the motion.</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4"/>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Defendants complied with the court's order and submitted the names and addresses of all the heirs of Gorgonio Medina.</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5"/>
      </w:r>
      <w:proofErr w:type="gramStart"/>
      <w:r w:rsidRPr="00460E8B">
        <w:rPr>
          <w:rFonts w:ascii="Verdana" w:eastAsia="Times New Roman" w:hAnsi="Verdana" w:cs="Times New Roman"/>
          <w:color w:val="FF0000"/>
          <w:vertAlign w:val="superscript"/>
          <w:lang w:eastAsia="en-PH"/>
        </w:rPr>
        <w:t>]</w:t>
      </w:r>
      <w:proofErr w:type="gramEnd"/>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On 7 January 2002,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filed a Motion for Leave to Admit Amended Complaint with prayer that summons upon eight heirs be made through publication.</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6"/>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The Amended Complaint impleaded all the heirs of Gorgonio Medina (petitioners herein). In said amended complaint, a special power of attorney</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7"/>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dated 21 September 2001 allegedly executed by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in the State of Washington, United States of America, and acknowledged before Phyllis Perry, a Notary Public of the State of Washington, USA, was attached authorizing Philip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to:</w:t>
      </w:r>
    </w:p>
    <w:p w:rsidR="00460E8B" w:rsidRPr="00460E8B" w:rsidRDefault="00460E8B" w:rsidP="00460E8B">
      <w:pPr>
        <w:numPr>
          <w:ilvl w:val="0"/>
          <w:numId w:val="2"/>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 xml:space="preserve">To file all appropriate cases in court against the heirs of Gorgonio Medina for the recovery of the lot that I purchased from said Gorgonio Medina by virtue of Deed of Absolute Sale executed on March 29, 1972 and notarized by Atty. </w:t>
      </w:r>
      <w:proofErr w:type="spellStart"/>
      <w:r w:rsidRPr="00460E8B">
        <w:rPr>
          <w:rFonts w:ascii="Verdana" w:eastAsia="Times New Roman" w:hAnsi="Verdana" w:cs="Times New Roman"/>
          <w:color w:val="000000"/>
          <w:lang w:eastAsia="en-PH"/>
        </w:rPr>
        <w:t>Inocencio</w:t>
      </w:r>
      <w:proofErr w:type="spellEnd"/>
      <w:r w:rsidRPr="00460E8B">
        <w:rPr>
          <w:rFonts w:ascii="Verdana" w:eastAsia="Times New Roman" w:hAnsi="Verdana" w:cs="Times New Roman"/>
          <w:color w:val="000000"/>
          <w:lang w:eastAsia="en-PH"/>
        </w:rPr>
        <w:t xml:space="preserve"> B. </w:t>
      </w:r>
      <w:proofErr w:type="spellStart"/>
      <w:r w:rsidRPr="00460E8B">
        <w:rPr>
          <w:rFonts w:ascii="Verdana" w:eastAsia="Times New Roman" w:hAnsi="Verdana" w:cs="Times New Roman"/>
          <w:color w:val="000000"/>
          <w:lang w:eastAsia="en-PH"/>
        </w:rPr>
        <w:t>Garampil</w:t>
      </w:r>
      <w:proofErr w:type="spellEnd"/>
      <w:r w:rsidRPr="00460E8B">
        <w:rPr>
          <w:rFonts w:ascii="Verdana" w:eastAsia="Times New Roman" w:hAnsi="Verdana" w:cs="Times New Roman"/>
          <w:color w:val="000000"/>
          <w:lang w:eastAsia="en-PH"/>
        </w:rPr>
        <w:t xml:space="preserve"> under Doc. No. 435, Page No. 87, Book No. 1, Series of 1972, which lot is now titled in the name of Gorgonio Medina under Transfer Certificate of Title No. NT-230248;</w:t>
      </w:r>
    </w:p>
    <w:p w:rsidR="00460E8B" w:rsidRPr="00460E8B" w:rsidRDefault="00460E8B" w:rsidP="00460E8B">
      <w:pPr>
        <w:numPr>
          <w:ilvl w:val="0"/>
          <w:numId w:val="2"/>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To institute all legal actions/cases in court for the annulment of said Transfer Certificate of Title No. NT -230248 which now covers the lot I bought from Gorgonio Medina;</w:t>
      </w:r>
    </w:p>
    <w:p w:rsidR="00460E8B" w:rsidRPr="00460E8B" w:rsidRDefault="00460E8B" w:rsidP="00460E8B">
      <w:pPr>
        <w:numPr>
          <w:ilvl w:val="0"/>
          <w:numId w:val="2"/>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To represent me in all proceedings/hearings of the above-mentioned case/s up to its termination;</w:t>
      </w:r>
    </w:p>
    <w:p w:rsidR="00460E8B" w:rsidRPr="00460E8B" w:rsidRDefault="00460E8B" w:rsidP="00460E8B">
      <w:pPr>
        <w:numPr>
          <w:ilvl w:val="0"/>
          <w:numId w:val="2"/>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To enter into a fair and reasonable compromise agreement and do all acts for the protection and preservation of my rights and interest over the above-mentioned lot;</w:t>
      </w:r>
    </w:p>
    <w:p w:rsidR="00460E8B" w:rsidRPr="00460E8B" w:rsidRDefault="00460E8B" w:rsidP="00460E8B">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To negotiate/transact with all persons, secure and sign all necessary documents for the attainment of the above purposes.</w:t>
      </w:r>
    </w:p>
    <w:p w:rsidR="00460E8B" w:rsidRP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 xml:space="preserve">In an Order </w:t>
      </w:r>
      <w:proofErr w:type="gramStart"/>
      <w:r w:rsidRPr="00460E8B">
        <w:rPr>
          <w:rFonts w:ascii="Verdana" w:eastAsia="Times New Roman" w:hAnsi="Verdana" w:cs="Times New Roman"/>
          <w:color w:val="000000"/>
          <w:lang w:eastAsia="en-PH"/>
        </w:rPr>
        <w:t>dated</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8"/>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30 January 2002, the trial court approved the motion and admitted the Amended Complaint. It directed the issuance of the corresponding summons, the same to be published in a newspaper of general circulation for three consecutive weeks. As to plaintiff's authority to sue, the trial court ruled that said issue had been settled by the special power of attorney attached to the Amended Complaint.</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On 17 May 2002, the heirs of Gorgonio Medina filed a Motion to </w:t>
      </w:r>
      <w:proofErr w:type="gramStart"/>
      <w:r w:rsidRPr="00460E8B">
        <w:rPr>
          <w:rFonts w:ascii="Verdana" w:eastAsia="Times New Roman" w:hAnsi="Verdana" w:cs="Times New Roman"/>
          <w:color w:val="000000"/>
          <w:lang w:eastAsia="en-PH"/>
        </w:rPr>
        <w:t>Dismiss</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9"/>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which the trial court denied on 20 August 2002.</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0"/>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xml:space="preserve"> On 10 September 2002, the heirs filed their Answer raising the following </w:t>
      </w:r>
      <w:proofErr w:type="spellStart"/>
      <w:r w:rsidRPr="00460E8B">
        <w:rPr>
          <w:rFonts w:ascii="Verdana" w:eastAsia="Times New Roman" w:hAnsi="Verdana" w:cs="Times New Roman"/>
          <w:color w:val="000000"/>
          <w:lang w:eastAsia="en-PH"/>
        </w:rPr>
        <w:t>defenses</w:t>
      </w:r>
      <w:proofErr w:type="spellEnd"/>
      <w:r w:rsidRPr="00460E8B">
        <w:rPr>
          <w:rFonts w:ascii="Verdana" w:eastAsia="Times New Roman" w:hAnsi="Verdana" w:cs="Times New Roman"/>
          <w:color w:val="000000"/>
          <w:lang w:eastAsia="en-PH"/>
        </w:rPr>
        <w:t xml:space="preserve">: prescription, laches, lack of cause of action, lack of legal capacity to sue by Attorney-in-Fact, indefeasibility of TCT No. </w:t>
      </w:r>
      <w:proofErr w:type="gramStart"/>
      <w:r w:rsidRPr="00460E8B">
        <w:rPr>
          <w:rFonts w:ascii="Verdana" w:eastAsia="Times New Roman" w:hAnsi="Verdana" w:cs="Times New Roman"/>
          <w:color w:val="000000"/>
          <w:lang w:eastAsia="en-PH"/>
        </w:rPr>
        <w:t xml:space="preserve">NT-230248 and lack of jurisdiction over the case for failure of the </w:t>
      </w:r>
      <w:r w:rsidRPr="00460E8B">
        <w:rPr>
          <w:rFonts w:ascii="Verdana" w:eastAsia="Times New Roman" w:hAnsi="Verdana" w:cs="Times New Roman"/>
          <w:color w:val="000000"/>
          <w:lang w:eastAsia="en-PH"/>
        </w:rPr>
        <w:lastRenderedPageBreak/>
        <w:t>plaintiff to comply with the mandatory requirement of the </w:t>
      </w:r>
      <w:proofErr w:type="spellStart"/>
      <w:r w:rsidRPr="00460E8B">
        <w:rPr>
          <w:rFonts w:ascii="Verdana" w:eastAsia="Times New Roman" w:hAnsi="Verdana" w:cs="Times New Roman"/>
          <w:i/>
          <w:iCs/>
          <w:color w:val="000000"/>
          <w:lang w:eastAsia="en-PH"/>
        </w:rPr>
        <w:t>Katarungang</w:t>
      </w:r>
      <w:proofErr w:type="spellEnd"/>
      <w:r w:rsidRPr="00460E8B">
        <w:rPr>
          <w:rFonts w:ascii="Verdana" w:eastAsia="Times New Roman" w:hAnsi="Verdana" w:cs="Times New Roman"/>
          <w:i/>
          <w:iCs/>
          <w:color w:val="000000"/>
          <w:lang w:eastAsia="en-PH"/>
        </w:rPr>
        <w:t xml:space="preserve"> </w:t>
      </w:r>
      <w:proofErr w:type="spellStart"/>
      <w:r w:rsidRPr="00460E8B">
        <w:rPr>
          <w:rFonts w:ascii="Verdana" w:eastAsia="Times New Roman" w:hAnsi="Verdana" w:cs="Times New Roman"/>
          <w:i/>
          <w:iCs/>
          <w:color w:val="000000"/>
          <w:lang w:eastAsia="en-PH"/>
        </w:rPr>
        <w:t>Pambarangay</w:t>
      </w:r>
      <w:proofErr w:type="spellEnd"/>
      <w:r w:rsidRPr="00460E8B">
        <w:rPr>
          <w:rFonts w:ascii="Verdana" w:eastAsia="Times New Roman" w:hAnsi="Verdana" w:cs="Times New Roman"/>
          <w:color w:val="000000"/>
          <w:lang w:eastAsia="en-PH"/>
        </w:rPr>
        <w:t>.</w:t>
      </w:r>
      <w:proofErr w:type="gramEnd"/>
      <w:r w:rsidRPr="00460E8B">
        <w:rPr>
          <w:rFonts w:ascii="Verdana" w:eastAsia="Times New Roman" w:hAnsi="Verdana" w:cs="Times New Roman"/>
          <w:color w:val="000000"/>
          <w:lang w:eastAsia="en-PH"/>
        </w:rPr>
        <w:t xml:space="preserve"> Plaintiff filed his Reply dated 18 September 2002 specifically denying the allegations contained in the Answer with Compulsory Counterclaim.</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1"/>
      </w:r>
      <w:proofErr w:type="gramStart"/>
      <w:r w:rsidRPr="00460E8B">
        <w:rPr>
          <w:rFonts w:ascii="Verdana" w:eastAsia="Times New Roman" w:hAnsi="Verdana" w:cs="Times New Roman"/>
          <w:color w:val="FF0000"/>
          <w:vertAlign w:val="superscript"/>
          <w:lang w:eastAsia="en-PH"/>
        </w:rPr>
        <w:t>]</w:t>
      </w:r>
      <w:proofErr w:type="gramEnd"/>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During the Pre-Trial, the parties stipulated the following facts and issues:</w:t>
      </w:r>
    </w:p>
    <w:p w:rsidR="00460E8B" w:rsidRPr="00460E8B" w:rsidRDefault="00460E8B" w:rsidP="00460E8B">
      <w:pPr>
        <w:numPr>
          <w:ilvl w:val="0"/>
          <w:numId w:val="3"/>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TCT No. N-230248 in the name of Gorgonio Medina covers 371 square meters. This title was one of the titles issued as transfer from Original Certificate of Title No. 130366.</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2"/>
      </w:r>
      <w:r w:rsidRPr="00460E8B">
        <w:rPr>
          <w:rFonts w:ascii="Verdana" w:eastAsia="Times New Roman" w:hAnsi="Verdana" w:cs="Times New Roman"/>
          <w:color w:val="FF0000"/>
          <w:vertAlign w:val="superscript"/>
          <w:lang w:eastAsia="en-PH"/>
        </w:rPr>
        <w:t>]</w:t>
      </w:r>
    </w:p>
    <w:p w:rsidR="00460E8B" w:rsidRPr="00460E8B" w:rsidRDefault="00460E8B" w:rsidP="00460E8B">
      <w:pPr>
        <w:numPr>
          <w:ilvl w:val="0"/>
          <w:numId w:val="3"/>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TCT No. 230248 came into being by virtue of the decision in Civil Case No. 781-G, a case of partition among Gorgonio Medina and his co-heirs decided by RTC Branch 33.</w:t>
      </w:r>
    </w:p>
    <w:p w:rsidR="00460E8B" w:rsidRPr="00460E8B" w:rsidRDefault="00460E8B" w:rsidP="00460E8B">
      <w:pPr>
        <w:numPr>
          <w:ilvl w:val="0"/>
          <w:numId w:val="3"/>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 xml:space="preserve">The late Gorgonio Medina executed a Deed of Absolute Sale over 1/3 portion of his share in a parcel of land (Lot 1199, CAD-162 </w:t>
      </w:r>
      <w:proofErr w:type="spellStart"/>
      <w:r w:rsidRPr="00460E8B">
        <w:rPr>
          <w:rFonts w:ascii="Verdana" w:eastAsia="Times New Roman" w:hAnsi="Verdana" w:cs="Times New Roman"/>
          <w:color w:val="000000"/>
          <w:lang w:eastAsia="en-PH"/>
        </w:rPr>
        <w:t>Guimba</w:t>
      </w:r>
      <w:proofErr w:type="spellEnd"/>
      <w:r w:rsidRPr="00460E8B">
        <w:rPr>
          <w:rFonts w:ascii="Verdana" w:eastAsia="Times New Roman" w:hAnsi="Verdana" w:cs="Times New Roman"/>
          <w:color w:val="000000"/>
          <w:lang w:eastAsia="en-PH"/>
        </w:rPr>
        <w:t xml:space="preserve"> Cadastre) owned in common by him and his co-heirs.</w:t>
      </w:r>
    </w:p>
    <w:p w:rsidR="00460E8B" w:rsidRPr="00460E8B" w:rsidRDefault="00460E8B" w:rsidP="00460E8B">
      <w:pPr>
        <w:numPr>
          <w:ilvl w:val="0"/>
          <w:numId w:val="3"/>
        </w:numPr>
        <w:spacing w:before="100" w:beforeAutospacing="1" w:after="100" w:afterAutospacing="1"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The land subject of the deed of sale is not the one covered by TCT No. 230248.</w:t>
      </w:r>
    </w:p>
    <w:p w:rsidR="00460E8B" w:rsidRP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Issues:</w:t>
      </w:r>
    </w:p>
    <w:p w:rsidR="00460E8B" w:rsidRPr="00460E8B" w:rsidRDefault="00460E8B" w:rsidP="00460E8B">
      <w:pPr>
        <w:numPr>
          <w:ilvl w:val="0"/>
          <w:numId w:val="4"/>
        </w:numPr>
        <w:spacing w:before="100" w:beforeAutospacing="1"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Whether the deed of sale of sale may be given effect notwithstanding the fact that the subject thereof is different from the portion covered by TCT No. 230248.</w:t>
      </w:r>
    </w:p>
    <w:p w:rsidR="00460E8B" w:rsidRPr="00460E8B" w:rsidRDefault="00460E8B" w:rsidP="00460E8B">
      <w:pPr>
        <w:numPr>
          <w:ilvl w:val="0"/>
          <w:numId w:val="4"/>
        </w:numPr>
        <w:spacing w:before="100" w:beforeAutospacing="1" w:after="100" w:afterAutospacing="1"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 xml:space="preserve">Whether </w:t>
      </w:r>
      <w:proofErr w:type="spellStart"/>
      <w:r w:rsidRPr="00460E8B">
        <w:rPr>
          <w:rFonts w:ascii="Verdana" w:eastAsia="Times New Roman" w:hAnsi="Verdana" w:cs="Times New Roman"/>
          <w:color w:val="000000"/>
          <w:lang w:eastAsia="en-PH"/>
        </w:rPr>
        <w:t>Mr.</w:t>
      </w:r>
      <w:proofErr w:type="spellEnd"/>
      <w:r w:rsidRPr="00460E8B">
        <w:rPr>
          <w:rFonts w:ascii="Verdana" w:eastAsia="Times New Roman" w:hAnsi="Verdana" w:cs="Times New Roman"/>
          <w:color w:val="000000"/>
          <w:lang w:eastAsia="en-PH"/>
        </w:rPr>
        <w:t xml:space="preserve"> Philip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is duly authorized to represent his father,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in this case.</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3"/>
      </w:r>
      <w:r w:rsidRPr="00460E8B">
        <w:rPr>
          <w:rFonts w:ascii="Verdana" w:eastAsia="Times New Roman" w:hAnsi="Verdana" w:cs="Times New Roman"/>
          <w:color w:val="FF0000"/>
          <w:vertAlign w:val="superscript"/>
          <w:lang w:eastAsia="en-PH"/>
        </w:rPr>
        <w:t>]</w:t>
      </w:r>
    </w:p>
    <w:p w:rsidR="00460E8B" w:rsidRP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The parties manifested that after they shall have filed their respective memoranda, the case shall be submitted for decision.</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In its decision dated 10 December 2003, the trial court ruled in </w:t>
      </w:r>
      <w:proofErr w:type="spellStart"/>
      <w:r w:rsidRPr="00460E8B">
        <w:rPr>
          <w:rFonts w:ascii="Verdana" w:eastAsia="Times New Roman" w:hAnsi="Verdana" w:cs="Times New Roman"/>
          <w:color w:val="000000"/>
          <w:lang w:eastAsia="en-PH"/>
        </w:rPr>
        <w:t>favor</w:t>
      </w:r>
      <w:proofErr w:type="spellEnd"/>
      <w:r w:rsidRPr="00460E8B">
        <w:rPr>
          <w:rFonts w:ascii="Verdana" w:eastAsia="Times New Roman" w:hAnsi="Verdana" w:cs="Times New Roman"/>
          <w:color w:val="000000"/>
          <w:lang w:eastAsia="en-PH"/>
        </w:rPr>
        <w:t xml:space="preserve"> of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The </w:t>
      </w:r>
      <w:proofErr w:type="spellStart"/>
      <w:r w:rsidRPr="00460E8B">
        <w:rPr>
          <w:rFonts w:ascii="Verdana" w:eastAsia="Times New Roman" w:hAnsi="Verdana" w:cs="Times New Roman"/>
          <w:color w:val="000000"/>
          <w:lang w:eastAsia="en-PH"/>
        </w:rPr>
        <w:t>decretal</w:t>
      </w:r>
      <w:proofErr w:type="spellEnd"/>
      <w:r w:rsidRPr="00460E8B">
        <w:rPr>
          <w:rFonts w:ascii="Verdana" w:eastAsia="Times New Roman" w:hAnsi="Verdana" w:cs="Times New Roman"/>
          <w:color w:val="000000"/>
          <w:lang w:eastAsia="en-PH"/>
        </w:rPr>
        <w:t xml:space="preserve"> portion of the decision reads:</w:t>
      </w:r>
    </w:p>
    <w:p w:rsidR="00460E8B" w:rsidRPr="00460E8B" w:rsidRDefault="00460E8B" w:rsidP="00460E8B">
      <w:pPr>
        <w:spacing w:after="0" w:line="240" w:lineRule="auto"/>
        <w:ind w:left="720"/>
        <w:rPr>
          <w:rFonts w:ascii="Verdana" w:eastAsia="Times New Roman" w:hAnsi="Verdana" w:cs="Times New Roman"/>
          <w:color w:val="000000"/>
          <w:lang w:eastAsia="en-PH"/>
        </w:rPr>
      </w:pPr>
      <w:r w:rsidRPr="00460E8B">
        <w:rPr>
          <w:rFonts w:eastAsia="Times New Roman" w:cstheme="minorHAnsi"/>
          <w:color w:val="000000"/>
          <w:lang w:eastAsia="en-PH"/>
        </w:rPr>
        <w:t xml:space="preserve">WHEREFORE, judgment is hereby rendered in </w:t>
      </w:r>
      <w:proofErr w:type="spellStart"/>
      <w:r w:rsidRPr="00460E8B">
        <w:rPr>
          <w:rFonts w:eastAsia="Times New Roman" w:cstheme="minorHAnsi"/>
          <w:color w:val="000000"/>
          <w:lang w:eastAsia="en-PH"/>
        </w:rPr>
        <w:t>favor</w:t>
      </w:r>
      <w:proofErr w:type="spellEnd"/>
      <w:r w:rsidRPr="00460E8B">
        <w:rPr>
          <w:rFonts w:eastAsia="Times New Roman" w:cstheme="minorHAnsi"/>
          <w:color w:val="000000"/>
          <w:lang w:eastAsia="en-PH"/>
        </w:rPr>
        <w:t xml:space="preserve"> of the plaintiff ordering the defendants to convey to the plaintiff 1/3 portion of the lot covered by TCT No. 230248 together with the improvements thereon and to account for, and deliver to the plaintiff the income derived therefrom from the institution of this case up to the execution of this decision.</w:t>
      </w:r>
      <w:r w:rsidRPr="00460E8B">
        <w:rPr>
          <w:rFonts w:eastAsia="Times New Roman" w:cstheme="minorHAnsi"/>
          <w:color w:val="000000"/>
          <w:lang w:eastAsia="en-PH"/>
        </w:rPr>
        <w:br/>
      </w:r>
      <w:r w:rsidRPr="00460E8B">
        <w:rPr>
          <w:rFonts w:eastAsia="Times New Roman" w:cstheme="minorHAnsi"/>
          <w:color w:val="000000"/>
          <w:lang w:eastAsia="en-PH"/>
        </w:rPr>
        <w:br/>
        <w:t>No pronouncement as to damages there being no reservation made by the plaintiff to present evidence thereof</w:t>
      </w:r>
      <w:r w:rsidRPr="00460E8B">
        <w:rPr>
          <w:rFonts w:ascii="Verdana" w:eastAsia="Times New Roman" w:hAnsi="Verdana" w:cs="Times New Roman"/>
          <w:color w:val="000000"/>
          <w:lang w:eastAsia="en-PH"/>
        </w:rPr>
        <w:t>.</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4"/>
      </w:r>
      <w:r w:rsidRPr="00460E8B">
        <w:rPr>
          <w:rFonts w:ascii="Verdana" w:eastAsia="Times New Roman" w:hAnsi="Verdana" w:cs="Times New Roman"/>
          <w:color w:val="FF0000"/>
          <w:vertAlign w:val="superscript"/>
          <w:lang w:eastAsia="en-PH"/>
        </w:rPr>
        <w:t>]</w:t>
      </w:r>
    </w:p>
    <w:p w:rsidR="00460E8B" w:rsidRDefault="00460E8B" w:rsidP="00460E8B">
      <w:pPr>
        <w:spacing w:after="0" w:line="240" w:lineRule="auto"/>
        <w:rPr>
          <w:rFonts w:ascii="Verdana" w:eastAsia="Times New Roman" w:hAnsi="Verdana" w:cs="Times New Roman"/>
          <w:color w:val="000000"/>
          <w:lang w:eastAsia="en-PH"/>
        </w:rPr>
      </w:pPr>
    </w:p>
    <w:p w:rsid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 xml:space="preserve">On the issue of Philip </w:t>
      </w:r>
      <w:proofErr w:type="spellStart"/>
      <w:r w:rsidRPr="00460E8B">
        <w:rPr>
          <w:rFonts w:ascii="Verdana" w:eastAsia="Times New Roman" w:hAnsi="Verdana" w:cs="Times New Roman"/>
          <w:color w:val="000000"/>
          <w:lang w:eastAsia="en-PH"/>
        </w:rPr>
        <w:t>Natividad's</w:t>
      </w:r>
      <w:proofErr w:type="spellEnd"/>
      <w:r w:rsidRPr="00460E8B">
        <w:rPr>
          <w:rFonts w:ascii="Verdana" w:eastAsia="Times New Roman" w:hAnsi="Verdana" w:cs="Times New Roman"/>
          <w:color w:val="000000"/>
          <w:lang w:eastAsia="en-PH"/>
        </w:rPr>
        <w:t xml:space="preserve"> authority to represent his father, the court ruled that it was convinced that Philip was authorized to represent his father by virtue of a notarized special power of attorney executed by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attached to </w:t>
      </w:r>
      <w:r w:rsidRPr="00460E8B">
        <w:rPr>
          <w:rFonts w:ascii="Verdana" w:eastAsia="Times New Roman" w:hAnsi="Verdana" w:cs="Times New Roman"/>
          <w:color w:val="000000"/>
          <w:lang w:eastAsia="en-PH"/>
        </w:rPr>
        <w:lastRenderedPageBreak/>
        <w:t xml:space="preserve">the amended complaint. It explained that the document was a public document as defined under Section 20, paragraph (a) of Rule 132 of the Rules of Court, the same having been notarized by a notary public for the State of Washington, USA. In the absence of any evidence to show that said special power of attorney was falsified, it was sufficient authority for </w:t>
      </w:r>
      <w:proofErr w:type="spellStart"/>
      <w:r w:rsidRPr="00460E8B">
        <w:rPr>
          <w:rFonts w:ascii="Verdana" w:eastAsia="Times New Roman" w:hAnsi="Verdana" w:cs="Times New Roman"/>
          <w:color w:val="000000"/>
          <w:lang w:eastAsia="en-PH"/>
        </w:rPr>
        <w:t>Mr.</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to represent his father.</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The trial court likewise ruled that the deed of absolute sale executed by Gorgonio Medina in </w:t>
      </w:r>
      <w:proofErr w:type="spellStart"/>
      <w:r w:rsidRPr="00460E8B">
        <w:rPr>
          <w:rFonts w:ascii="Verdana" w:eastAsia="Times New Roman" w:hAnsi="Verdana" w:cs="Times New Roman"/>
          <w:color w:val="000000"/>
          <w:lang w:eastAsia="en-PH"/>
        </w:rPr>
        <w:t>favor</w:t>
      </w:r>
      <w:proofErr w:type="spellEnd"/>
      <w:r w:rsidRPr="00460E8B">
        <w:rPr>
          <w:rFonts w:ascii="Verdana" w:eastAsia="Times New Roman" w:hAnsi="Verdana" w:cs="Times New Roman"/>
          <w:color w:val="000000"/>
          <w:lang w:eastAsia="en-PH"/>
        </w:rPr>
        <w:t xml:space="preserve"> of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may be given effect notwithstanding the fact that the portion of Lot 1199 specified as its object was different from the portion adjudicated to Gorgonio Medina. It declared that the 1/3 portion of the land covered by TCT No. NT-230248 shall be deemed the object of the deed of sale. It agreed with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that what </w:t>
      </w:r>
      <w:proofErr w:type="gramStart"/>
      <w:r w:rsidRPr="00460E8B">
        <w:rPr>
          <w:rFonts w:ascii="Verdana" w:eastAsia="Times New Roman" w:hAnsi="Verdana" w:cs="Times New Roman"/>
          <w:color w:val="000000"/>
          <w:lang w:eastAsia="en-PH"/>
        </w:rPr>
        <w:t>was</w:t>
      </w:r>
      <w:proofErr w:type="gramEnd"/>
      <w:r w:rsidRPr="00460E8B">
        <w:rPr>
          <w:rFonts w:ascii="Verdana" w:eastAsia="Times New Roman" w:hAnsi="Verdana" w:cs="Times New Roman"/>
          <w:color w:val="000000"/>
          <w:lang w:eastAsia="en-PH"/>
        </w:rPr>
        <w:t xml:space="preserve"> sold by Gorgonio Medina to him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was his share, right and participation in the land known as Lot 1199. At the time of the sale, Lot 1199 was not yet divided. Gorgonio Medina specified a portion of Lot 1199, expecting that portion to be adjudicated to him, but his expectation did not materialize because a different portion was adjudicated to him during the partition. It added that justice demanded that a portion of what was adjudicated to him be considered as the object of the deed of sale.</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The trial court further ruled that prescription and laches did not set in. Since there was an express trust created between Gorgonio Medina and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the action to compel the defendants to convey the property to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did not prescribe. It explained that it is only when the trustee repudiates the trust that the prescriptive period of 10 years commences to run. In the instant case, Gorgonio Medina (trustee) repudiated the trust on 5 July 1993 when TCT No. NT-230248 was issued in his name. Thus, the filing of the complaint on 11 June 2001 was well within the ten-year prescriptive period.</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On 22 December 2003, the petitioner-heirs of Gorgonio Medina filed a Notice of Appeal informing the trail court that they were appealing the decision to the Court of Appeals.</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5"/>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A Notice of Appeal having been seasonably filed by the petitioners, the entire records of the case were forwarded to the Court of Appeals.</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6"/>
      </w:r>
      <w:proofErr w:type="gramStart"/>
      <w:r w:rsidRPr="00460E8B">
        <w:rPr>
          <w:rFonts w:ascii="Verdana" w:eastAsia="Times New Roman" w:hAnsi="Verdana" w:cs="Times New Roman"/>
          <w:color w:val="FF0000"/>
          <w:vertAlign w:val="superscript"/>
          <w:lang w:eastAsia="en-PH"/>
        </w:rPr>
        <w:t>]</w:t>
      </w:r>
      <w:proofErr w:type="gramEnd"/>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On 13 January 2004,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filed a Motion for Execution Pending Appeal</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7"/>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which the trial court denied, it having lost jurisdiction over the case because the appeal was already perfected when the motion was filed.</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8"/>
      </w:r>
      <w:proofErr w:type="gramStart"/>
      <w:r w:rsidRPr="00460E8B">
        <w:rPr>
          <w:rFonts w:ascii="Verdana" w:eastAsia="Times New Roman" w:hAnsi="Verdana" w:cs="Times New Roman"/>
          <w:color w:val="FF0000"/>
          <w:vertAlign w:val="superscript"/>
          <w:lang w:eastAsia="en-PH"/>
        </w:rPr>
        <w:t>]</w:t>
      </w:r>
      <w:proofErr w:type="gramEnd"/>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On 20 November 2006, the Court of Appeals rendered its decision affirming with modification the decision of the trial court. It disposed of the case as follows:</w:t>
      </w:r>
    </w:p>
    <w:p w:rsidR="00460E8B" w:rsidRPr="00460E8B" w:rsidRDefault="00460E8B" w:rsidP="00460E8B">
      <w:pPr>
        <w:spacing w:after="0" w:line="240" w:lineRule="auto"/>
        <w:rPr>
          <w:rFonts w:ascii="Verdana" w:eastAsia="Times New Roman" w:hAnsi="Verdana" w:cs="Times New Roman"/>
          <w:color w:val="000000"/>
          <w:lang w:eastAsia="en-PH"/>
        </w:rPr>
      </w:pPr>
    </w:p>
    <w:p w:rsidR="00460E8B" w:rsidRPr="00460E8B" w:rsidRDefault="00460E8B" w:rsidP="00460E8B">
      <w:pPr>
        <w:spacing w:after="0" w:line="240" w:lineRule="auto"/>
        <w:ind w:left="720"/>
        <w:rPr>
          <w:rFonts w:ascii="Verdana" w:eastAsia="Times New Roman" w:hAnsi="Verdana" w:cs="Times New Roman"/>
          <w:color w:val="000000"/>
          <w:lang w:eastAsia="en-PH"/>
        </w:rPr>
      </w:pPr>
      <w:r w:rsidRPr="00460E8B">
        <w:rPr>
          <w:rFonts w:eastAsia="Times New Roman" w:cstheme="minorHAnsi"/>
          <w:color w:val="000000"/>
          <w:lang w:eastAsia="en-PH"/>
        </w:rPr>
        <w:t xml:space="preserve">WHEREFORE, the Decision of the RTC, Branch 33, </w:t>
      </w:r>
      <w:proofErr w:type="spellStart"/>
      <w:r w:rsidRPr="00460E8B">
        <w:rPr>
          <w:rFonts w:eastAsia="Times New Roman" w:cstheme="minorHAnsi"/>
          <w:color w:val="000000"/>
          <w:lang w:eastAsia="en-PH"/>
        </w:rPr>
        <w:t>Guimba</w:t>
      </w:r>
      <w:proofErr w:type="spellEnd"/>
      <w:r w:rsidRPr="00460E8B">
        <w:rPr>
          <w:rFonts w:eastAsia="Times New Roman" w:cstheme="minorHAnsi"/>
          <w:color w:val="000000"/>
          <w:lang w:eastAsia="en-PH"/>
        </w:rPr>
        <w:t xml:space="preserve">, Nueva </w:t>
      </w:r>
      <w:proofErr w:type="spellStart"/>
      <w:r w:rsidRPr="00460E8B">
        <w:rPr>
          <w:rFonts w:eastAsia="Times New Roman" w:cstheme="minorHAnsi"/>
          <w:color w:val="000000"/>
          <w:lang w:eastAsia="en-PH"/>
        </w:rPr>
        <w:t>Ecija</w:t>
      </w:r>
      <w:proofErr w:type="spellEnd"/>
      <w:r w:rsidRPr="00460E8B">
        <w:rPr>
          <w:rFonts w:eastAsia="Times New Roman" w:cstheme="minorHAnsi"/>
          <w:color w:val="000000"/>
          <w:lang w:eastAsia="en-PH"/>
        </w:rPr>
        <w:t>, dated December 10, 2003, is hereby AFFIRMED with the MODIFICATION ordering the defendants-appellants to convey to plaintiff-</w:t>
      </w:r>
      <w:proofErr w:type="spellStart"/>
      <w:r w:rsidRPr="00460E8B">
        <w:rPr>
          <w:rFonts w:eastAsia="Times New Roman" w:cstheme="minorHAnsi"/>
          <w:color w:val="000000"/>
          <w:lang w:eastAsia="en-PH"/>
        </w:rPr>
        <w:t>appellee</w:t>
      </w:r>
      <w:proofErr w:type="spellEnd"/>
      <w:r w:rsidRPr="00460E8B">
        <w:rPr>
          <w:rFonts w:eastAsia="Times New Roman" w:cstheme="minorHAnsi"/>
          <w:color w:val="000000"/>
          <w:lang w:eastAsia="en-PH"/>
        </w:rPr>
        <w:t xml:space="preserve"> an area equivalent to 90 square meters of the land covered by TCT No. </w:t>
      </w:r>
      <w:proofErr w:type="gramStart"/>
      <w:r w:rsidRPr="00460E8B">
        <w:rPr>
          <w:rFonts w:eastAsia="Times New Roman" w:cstheme="minorHAnsi"/>
          <w:color w:val="000000"/>
          <w:lang w:eastAsia="en-PH"/>
        </w:rPr>
        <w:t>NT-230248.</w:t>
      </w:r>
      <w:proofErr w:type="gramEnd"/>
      <w:r w:rsidRPr="00460E8B">
        <w:rPr>
          <w:rFonts w:eastAsia="Times New Roman" w:cstheme="minorHAnsi"/>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9"/>
      </w:r>
      <w:r w:rsidRPr="00460E8B">
        <w:rPr>
          <w:rFonts w:ascii="Verdana" w:eastAsia="Times New Roman" w:hAnsi="Verdana" w:cs="Times New Roman"/>
          <w:color w:val="FF0000"/>
          <w:vertAlign w:val="superscript"/>
          <w:lang w:eastAsia="en-PH"/>
        </w:rPr>
        <w:t>]</w:t>
      </w:r>
    </w:p>
    <w:p w:rsid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lastRenderedPageBreak/>
        <w:t xml:space="preserve">The appellate court affirmed the findings of the trial court, but ruled that the trust established between the parties was an implied or constructive trust, and not an express trust. It added that what should be conveyed to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was only 1/3 of 270 square meters or 90 square meters, and not 1/3 of 371 square meters since what was sold to him was only a part of one of the two portions owned by Gorgonio Medina in the entire lot. Finally, it declared that the contention that the Complaint should have been dismissed for lack of cause of action, considering that the Special Power of Attorney executed abroad by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in </w:t>
      </w:r>
      <w:proofErr w:type="spellStart"/>
      <w:r w:rsidRPr="00460E8B">
        <w:rPr>
          <w:rFonts w:ascii="Verdana" w:eastAsia="Times New Roman" w:hAnsi="Verdana" w:cs="Times New Roman"/>
          <w:color w:val="000000"/>
          <w:lang w:eastAsia="en-PH"/>
        </w:rPr>
        <w:t>favor</w:t>
      </w:r>
      <w:proofErr w:type="spellEnd"/>
      <w:r w:rsidRPr="00460E8B">
        <w:rPr>
          <w:rFonts w:ascii="Verdana" w:eastAsia="Times New Roman" w:hAnsi="Verdana" w:cs="Times New Roman"/>
          <w:color w:val="000000"/>
          <w:lang w:eastAsia="en-PH"/>
        </w:rPr>
        <w:t xml:space="preserve"> of his son was not properly authenticated before a consular officer, put a premium on technicalities at the expense of substantial justice. Litigation, it said, should, as much as possible, be decided on the merits and not on technicalities.</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Petitioners filed a Motion for </w:t>
      </w:r>
      <w:proofErr w:type="gramStart"/>
      <w:r w:rsidRPr="00460E8B">
        <w:rPr>
          <w:rFonts w:ascii="Verdana" w:eastAsia="Times New Roman" w:hAnsi="Verdana" w:cs="Times New Roman"/>
          <w:color w:val="000000"/>
          <w:lang w:eastAsia="en-PH"/>
        </w:rPr>
        <w:t>Reconsideration</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30"/>
      </w:r>
      <w:r w:rsidRPr="00460E8B">
        <w:rPr>
          <w:rFonts w:ascii="Verdana" w:eastAsia="Times New Roman" w:hAnsi="Verdana" w:cs="Times New Roman"/>
          <w:color w:val="FF0000"/>
          <w:vertAlign w:val="superscript"/>
          <w:lang w:eastAsia="en-PH"/>
        </w:rPr>
        <w:t>]</w:t>
      </w:r>
      <w:r w:rsidRPr="00460E8B">
        <w:rPr>
          <w:rFonts w:ascii="Verdana" w:eastAsia="Times New Roman" w:hAnsi="Verdana" w:cs="Times New Roman"/>
          <w:color w:val="000000"/>
          <w:lang w:eastAsia="en-PH"/>
        </w:rPr>
        <w:t> which the Court of Appeals denied in a resolution dated 16 April 2007.</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1"/>
      </w:r>
      <w:proofErr w:type="gramStart"/>
      <w:r w:rsidRPr="00460E8B">
        <w:rPr>
          <w:rFonts w:ascii="Verdana" w:eastAsia="Times New Roman" w:hAnsi="Verdana" w:cs="Times New Roman"/>
          <w:color w:val="FF0000"/>
          <w:vertAlign w:val="superscript"/>
          <w:lang w:eastAsia="en-PH"/>
        </w:rPr>
        <w:t>]</w:t>
      </w:r>
      <w:proofErr w:type="gramEnd"/>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Hence, the instant petition raising the following issues:</w:t>
      </w:r>
    </w:p>
    <w:p w:rsidR="00460E8B" w:rsidRPr="00460E8B" w:rsidRDefault="00460E8B" w:rsidP="00460E8B">
      <w:pPr>
        <w:spacing w:after="0" w:line="240" w:lineRule="auto"/>
        <w:ind w:left="720"/>
        <w:rPr>
          <w:rFonts w:ascii="Times New Roman" w:eastAsia="Times New Roman" w:hAnsi="Times New Roman" w:cs="Times New Roman"/>
          <w:color w:val="000000"/>
          <w:lang w:eastAsia="en-PH"/>
        </w:rPr>
      </w:pPr>
    </w:p>
    <w:p w:rsidR="00460E8B" w:rsidRPr="00460E8B" w:rsidRDefault="00460E8B" w:rsidP="00460E8B">
      <w:pPr>
        <w:spacing w:after="0" w:line="240" w:lineRule="auto"/>
        <w:ind w:left="720"/>
        <w:rPr>
          <w:rFonts w:ascii="Verdana" w:eastAsia="Times New Roman" w:hAnsi="Verdana" w:cs="Times New Roman"/>
          <w:color w:val="000000"/>
          <w:lang w:eastAsia="en-PH"/>
        </w:rPr>
      </w:pPr>
      <w:r w:rsidRPr="00460E8B">
        <w:rPr>
          <w:rFonts w:ascii="Times New Roman" w:eastAsia="Times New Roman" w:hAnsi="Times New Roman" w:cs="Times New Roman"/>
          <w:color w:val="000000"/>
          <w:lang w:eastAsia="en-PH"/>
        </w:rPr>
        <w:t>WHETHER OR NOT THE COMPROMISE AGREEMENT THAT THE TRIAL COURT APPROVED IN CIVIL CASE NO. 781-G NOVATED THE DEED OF ABSOLUTE SALE DATED 29 MARCH 1972 BETWEEN GORGONIO MEDINA AND BONIFACIO NATIVIDAD.</w:t>
      </w:r>
      <w:r w:rsidRPr="00460E8B">
        <w:rPr>
          <w:rFonts w:ascii="Times New Roman" w:eastAsia="Times New Roman" w:hAnsi="Times New Roman" w:cs="Times New Roman"/>
          <w:color w:val="000000"/>
          <w:lang w:eastAsia="en-PH"/>
        </w:rPr>
        <w:br/>
      </w:r>
      <w:r w:rsidRPr="00460E8B">
        <w:rPr>
          <w:rFonts w:ascii="Times New Roman" w:eastAsia="Times New Roman" w:hAnsi="Times New Roman" w:cs="Times New Roman"/>
          <w:color w:val="000000"/>
          <w:lang w:eastAsia="en-PH"/>
        </w:rPr>
        <w:br/>
      </w:r>
      <w:proofErr w:type="gramStart"/>
      <w:r w:rsidRPr="00460E8B">
        <w:rPr>
          <w:rFonts w:ascii="Times New Roman" w:eastAsia="Times New Roman" w:hAnsi="Times New Roman" w:cs="Times New Roman"/>
          <w:color w:val="000000"/>
          <w:lang w:eastAsia="en-PH"/>
        </w:rPr>
        <w:t>WHETHER OR NOT BONIFACIO NATIVIDAD IS ESTOPPED BY LACHES.</w:t>
      </w:r>
      <w:proofErr w:type="gramEnd"/>
      <w:r w:rsidRPr="00460E8B">
        <w:rPr>
          <w:rFonts w:ascii="Times New Roman" w:eastAsia="Times New Roman" w:hAnsi="Times New Roman" w:cs="Times New Roman"/>
          <w:color w:val="000000"/>
          <w:lang w:eastAsia="en-PH"/>
        </w:rPr>
        <w:br/>
      </w:r>
      <w:r w:rsidRPr="00460E8B">
        <w:rPr>
          <w:rFonts w:ascii="Times New Roman" w:eastAsia="Times New Roman" w:hAnsi="Times New Roman" w:cs="Times New Roman"/>
          <w:color w:val="000000"/>
          <w:lang w:eastAsia="en-PH"/>
        </w:rPr>
        <w:br/>
        <w:t>WHETHER OR NOT THE REGISTRATION OF LOT NO. 1199-C IN THE NAME OF GORGONIO MEDINA WAS IN FRAUD OF BONIFACIO NATIVIDAD.</w:t>
      </w:r>
      <w:r w:rsidRPr="00460E8B">
        <w:rPr>
          <w:rFonts w:ascii="Times New Roman" w:eastAsia="Times New Roman" w:hAnsi="Times New Roman" w:cs="Times New Roman"/>
          <w:color w:val="000000"/>
          <w:lang w:eastAsia="en-PH"/>
        </w:rPr>
        <w:br/>
      </w:r>
      <w:r w:rsidRPr="00460E8B">
        <w:rPr>
          <w:rFonts w:ascii="Times New Roman" w:eastAsia="Times New Roman" w:hAnsi="Times New Roman" w:cs="Times New Roman"/>
          <w:color w:val="000000"/>
          <w:lang w:eastAsia="en-PH"/>
        </w:rPr>
        <w:br/>
      </w:r>
      <w:proofErr w:type="gramStart"/>
      <w:r w:rsidRPr="00460E8B">
        <w:rPr>
          <w:rFonts w:ascii="Times New Roman" w:eastAsia="Times New Roman" w:hAnsi="Times New Roman" w:cs="Times New Roman"/>
          <w:color w:val="000000"/>
          <w:lang w:eastAsia="en-PH"/>
        </w:rPr>
        <w:t>WHETHER OR NOT A CONSTRUCTIVE TRUST WAS CREATED BETWEEN GORGONIO MEDINA AND BONIFACIO NATIVIDAD.</w:t>
      </w:r>
      <w:proofErr w:type="gramEnd"/>
      <w:r w:rsidRPr="00460E8B">
        <w:rPr>
          <w:rFonts w:ascii="Times New Roman" w:eastAsia="Times New Roman" w:hAnsi="Times New Roman" w:cs="Times New Roman"/>
          <w:color w:val="000000"/>
          <w:lang w:eastAsia="en-PH"/>
        </w:rPr>
        <w:br/>
      </w:r>
      <w:r w:rsidRPr="00460E8B">
        <w:rPr>
          <w:rFonts w:ascii="Times New Roman" w:eastAsia="Times New Roman" w:hAnsi="Times New Roman" w:cs="Times New Roman"/>
          <w:color w:val="000000"/>
          <w:lang w:eastAsia="en-PH"/>
        </w:rPr>
        <w:br/>
      </w:r>
      <w:proofErr w:type="gramStart"/>
      <w:r w:rsidRPr="00460E8B">
        <w:rPr>
          <w:rFonts w:ascii="Times New Roman" w:eastAsia="Times New Roman" w:hAnsi="Times New Roman" w:cs="Times New Roman"/>
          <w:color w:val="000000"/>
          <w:lang w:eastAsia="en-PH"/>
        </w:rPr>
        <w:t>WHETHER OR NOT BONIFACIO NATIVIDAD'S CAUSE OF ACTION HAS ALREADY PRESCRIBED.</w:t>
      </w:r>
      <w:proofErr w:type="gramEnd"/>
      <w:r w:rsidRPr="00460E8B">
        <w:rPr>
          <w:rFonts w:ascii="Times New Roman" w:eastAsia="Times New Roman" w:hAnsi="Times New Roman" w:cs="Times New Roman"/>
          <w:color w:val="000000"/>
          <w:lang w:eastAsia="en-PH"/>
        </w:rPr>
        <w:br/>
      </w:r>
      <w:r w:rsidRPr="00460E8B">
        <w:rPr>
          <w:rFonts w:ascii="Times New Roman" w:eastAsia="Times New Roman" w:hAnsi="Times New Roman" w:cs="Times New Roman"/>
          <w:color w:val="000000"/>
          <w:lang w:eastAsia="en-PH"/>
        </w:rPr>
        <w:br/>
      </w:r>
      <w:proofErr w:type="gramStart"/>
      <w:r w:rsidRPr="00460E8B">
        <w:rPr>
          <w:rFonts w:ascii="Times New Roman" w:eastAsia="Times New Roman" w:hAnsi="Times New Roman" w:cs="Times New Roman"/>
          <w:color w:val="000000"/>
          <w:lang w:eastAsia="en-PH"/>
        </w:rPr>
        <w:t>WHETHER OR NOT THE COMPLAINT STATES A CAUSE OF ACTION.</w:t>
      </w:r>
      <w:proofErr w:type="gramEnd"/>
    </w:p>
    <w:p w:rsidR="00460E8B" w:rsidRDefault="00460E8B" w:rsidP="00460E8B">
      <w:pPr>
        <w:spacing w:after="0" w:line="240" w:lineRule="auto"/>
        <w:rPr>
          <w:rFonts w:ascii="Verdana" w:eastAsia="Times New Roman" w:hAnsi="Verdana" w:cs="Times New Roman"/>
          <w:color w:val="000000"/>
          <w:lang w:eastAsia="en-PH"/>
        </w:rPr>
      </w:pPr>
    </w:p>
    <w:p w:rsid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t>Among the issues raised by petitioners the last is what we shall first tackle. Petitioners contend that the Court of Appeals committed a very grave error in not finding that the respondent was without any cause of action. Petitioners argue:</w:t>
      </w:r>
    </w:p>
    <w:p w:rsidR="00460E8B" w:rsidRPr="00460E8B" w:rsidRDefault="00460E8B" w:rsidP="00460E8B">
      <w:pPr>
        <w:spacing w:after="0" w:line="240" w:lineRule="auto"/>
        <w:rPr>
          <w:rFonts w:ascii="Verdana" w:eastAsia="Times New Roman" w:hAnsi="Verdana" w:cs="Times New Roman"/>
          <w:color w:val="000000"/>
          <w:lang w:eastAsia="en-PH"/>
        </w:rPr>
      </w:pPr>
    </w:p>
    <w:p w:rsidR="00460E8B" w:rsidRPr="00460E8B" w:rsidRDefault="00460E8B" w:rsidP="00460E8B">
      <w:pPr>
        <w:spacing w:after="0" w:line="240" w:lineRule="auto"/>
        <w:ind w:left="720"/>
        <w:rPr>
          <w:rFonts w:ascii="Verdana" w:eastAsia="Times New Roman" w:hAnsi="Verdana" w:cs="Times New Roman"/>
          <w:color w:val="000000"/>
          <w:lang w:eastAsia="en-PH"/>
        </w:rPr>
      </w:pPr>
      <w:r w:rsidRPr="00460E8B">
        <w:rPr>
          <w:rFonts w:eastAsia="Times New Roman" w:cstheme="minorHAnsi"/>
          <w:color w:val="000000"/>
          <w:lang w:eastAsia="en-PH"/>
        </w:rPr>
        <w:t xml:space="preserve">The Complaint in this case was instituted by Philip M.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 xml:space="preserve"> in the name of </w:t>
      </w:r>
      <w:proofErr w:type="spellStart"/>
      <w:r w:rsidRPr="00460E8B">
        <w:rPr>
          <w:rFonts w:eastAsia="Times New Roman" w:cstheme="minorHAnsi"/>
          <w:color w:val="000000"/>
          <w:lang w:eastAsia="en-PH"/>
        </w:rPr>
        <w:t>Bonifacio</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 xml:space="preserve"> upon the strength of a Special Power of Attorney executed by the latter in Washington, U.S.A. While the document appears to have been acknowledged before Phyllis Perry, a Notary Public for the jurisdiction of the State of Washington, U.S.A., it was not presented before a Philippine Consular Officer for the requisite authentication.</w:t>
      </w:r>
      <w:r w:rsidRPr="00460E8B">
        <w:rPr>
          <w:rFonts w:eastAsia="Times New Roman" w:cstheme="minorHAnsi"/>
          <w:color w:val="000000"/>
          <w:lang w:eastAsia="en-PH"/>
        </w:rPr>
        <w:br/>
      </w:r>
      <w:r w:rsidRPr="00460E8B">
        <w:rPr>
          <w:rFonts w:eastAsia="Times New Roman" w:cstheme="minorHAnsi"/>
          <w:color w:val="000000"/>
          <w:lang w:eastAsia="en-PH"/>
        </w:rPr>
        <w:br/>
        <w:t xml:space="preserve">The Revised Rules on Evidence require that a document acknowledged before a notary public being a public document, such record if kept in a foreign country, should be accompanied with a certificate that such officer has the custody thereof made by a secretary </w:t>
      </w:r>
      <w:r w:rsidRPr="00460E8B">
        <w:rPr>
          <w:rFonts w:eastAsia="Times New Roman" w:cstheme="minorHAnsi"/>
          <w:color w:val="000000"/>
          <w:lang w:eastAsia="en-PH"/>
        </w:rPr>
        <w:lastRenderedPageBreak/>
        <w:t>of the embassy or legation, consul general, consul, vice consul, or consular agent or by an officer in the foreign service of the Philippines stationed in the foreign country in which the record is kept, authenticated by the seal of his office. In the absence of the requisite certification and authentication of the public document, the same cannot be proved and, therefore, inadmissible as evidence.</w:t>
      </w:r>
      <w:r w:rsidRPr="00460E8B">
        <w:rPr>
          <w:rFonts w:eastAsia="Times New Roman" w:cstheme="minorHAnsi"/>
          <w:color w:val="000000"/>
          <w:lang w:eastAsia="en-PH"/>
        </w:rPr>
        <w:br/>
      </w:r>
      <w:r w:rsidRPr="00460E8B">
        <w:rPr>
          <w:rFonts w:eastAsia="Times New Roman" w:cstheme="minorHAnsi"/>
          <w:color w:val="000000"/>
          <w:lang w:eastAsia="en-PH"/>
        </w:rPr>
        <w:br/>
      </w:r>
      <w:proofErr w:type="spellStart"/>
      <w:r w:rsidRPr="00460E8B">
        <w:rPr>
          <w:rFonts w:eastAsia="Times New Roman" w:cstheme="minorHAnsi"/>
          <w:color w:val="000000"/>
          <w:lang w:eastAsia="en-PH"/>
        </w:rPr>
        <w:t>Bonifacio</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Natividad's</w:t>
      </w:r>
      <w:proofErr w:type="spellEnd"/>
      <w:r w:rsidRPr="00460E8B">
        <w:rPr>
          <w:rFonts w:eastAsia="Times New Roman" w:cstheme="minorHAnsi"/>
          <w:color w:val="000000"/>
          <w:lang w:eastAsia="en-PH"/>
        </w:rPr>
        <w:t xml:space="preserve"> Special Power of Attorney not having been duly certified and authenticated, it cannot be duly proved. It is, therefore, deemed as not having been executed for purposes of instituting an action on his behalf. Without any valid authority to institute the action on behalf of his father, Philip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 xml:space="preserve"> is deemed to have instituted it on his own. Philip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 xml:space="preserve"> not being a party to the Deed of Absolute Sale between Gorgonio Medina and </w:t>
      </w:r>
      <w:proofErr w:type="spellStart"/>
      <w:r w:rsidRPr="00460E8B">
        <w:rPr>
          <w:rFonts w:eastAsia="Times New Roman" w:cstheme="minorHAnsi"/>
          <w:color w:val="000000"/>
          <w:lang w:eastAsia="en-PH"/>
        </w:rPr>
        <w:t>Bonifacio</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 xml:space="preserve">, he is undoubtedly not the real party in interest because he does not have any material interest in the contract which is the source of </w:t>
      </w:r>
      <w:proofErr w:type="spellStart"/>
      <w:r w:rsidRPr="00460E8B">
        <w:rPr>
          <w:rFonts w:eastAsia="Times New Roman" w:cstheme="minorHAnsi"/>
          <w:color w:val="000000"/>
          <w:lang w:eastAsia="en-PH"/>
        </w:rPr>
        <w:t>Bonifacio</w:t>
      </w:r>
      <w:proofErr w:type="spellEnd"/>
      <w:r w:rsidRPr="00460E8B">
        <w:rPr>
          <w:rFonts w:eastAsia="Times New Roman" w:cstheme="minorHAnsi"/>
          <w:color w:val="000000"/>
          <w:lang w:eastAsia="en-PH"/>
        </w:rPr>
        <w:t xml:space="preserve"> </w:t>
      </w:r>
      <w:proofErr w:type="spellStart"/>
      <w:r w:rsidRPr="00460E8B">
        <w:rPr>
          <w:rFonts w:eastAsia="Times New Roman" w:cstheme="minorHAnsi"/>
          <w:color w:val="000000"/>
          <w:lang w:eastAsia="en-PH"/>
        </w:rPr>
        <w:t>Natividad's</w:t>
      </w:r>
      <w:proofErr w:type="spellEnd"/>
      <w:r w:rsidRPr="00460E8B">
        <w:rPr>
          <w:rFonts w:eastAsia="Times New Roman" w:cstheme="minorHAnsi"/>
          <w:color w:val="000000"/>
          <w:lang w:eastAsia="en-PH"/>
        </w:rPr>
        <w:t xml:space="preserve"> cause of action. He does not stand to be benefited or injured by a judgment in the suit and neither is he entitled to the avails of the suit.</w:t>
      </w:r>
      <w:r w:rsidRPr="00460E8B">
        <w:rPr>
          <w:rFonts w:eastAsia="Times New Roman" w:cstheme="minorHAnsi"/>
          <w:color w:val="000000"/>
          <w:lang w:eastAsia="en-PH"/>
        </w:rPr>
        <w:br/>
      </w:r>
      <w:r w:rsidRPr="00460E8B">
        <w:rPr>
          <w:rFonts w:eastAsia="Times New Roman" w:cstheme="minorHAnsi"/>
          <w:color w:val="000000"/>
          <w:lang w:eastAsia="en-PH"/>
        </w:rPr>
        <w:br/>
        <w:t xml:space="preserve">Not being the real party in interest, and being deemed to have brought the action on his own, Philip M. </w:t>
      </w:r>
      <w:proofErr w:type="spellStart"/>
      <w:r w:rsidRPr="00460E8B">
        <w:rPr>
          <w:rFonts w:eastAsia="Times New Roman" w:cstheme="minorHAnsi"/>
          <w:color w:val="000000"/>
          <w:lang w:eastAsia="en-PH"/>
        </w:rPr>
        <w:t>Natividad</w:t>
      </w:r>
      <w:proofErr w:type="spellEnd"/>
      <w:r w:rsidRPr="00460E8B">
        <w:rPr>
          <w:rFonts w:eastAsia="Times New Roman" w:cstheme="minorHAnsi"/>
          <w:color w:val="000000"/>
          <w:lang w:eastAsia="en-PH"/>
        </w:rPr>
        <w:t xml:space="preserve"> has no cause of action</w:t>
      </w:r>
      <w:r w:rsidRPr="00460E8B">
        <w:rPr>
          <w:rFonts w:ascii="Verdana" w:eastAsia="Times New Roman" w:hAnsi="Verdana" w:cs="Times New Roman"/>
          <w:color w:val="000000"/>
          <w:lang w:eastAsia="en-PH"/>
        </w:rPr>
        <w:t>.</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2"/>
      </w:r>
      <w:r w:rsidRPr="00460E8B">
        <w:rPr>
          <w:rFonts w:ascii="Verdana" w:eastAsia="Times New Roman" w:hAnsi="Verdana" w:cs="Times New Roman"/>
          <w:color w:val="FF0000"/>
          <w:vertAlign w:val="superscript"/>
          <w:lang w:eastAsia="en-PH"/>
        </w:rPr>
        <w:t>]</w:t>
      </w:r>
    </w:p>
    <w:p w:rsidR="00460E8B" w:rsidRDefault="00460E8B" w:rsidP="00460E8B">
      <w:pPr>
        <w:spacing w:after="0" w:line="240" w:lineRule="auto"/>
        <w:rPr>
          <w:rFonts w:ascii="Verdana" w:eastAsia="Times New Roman" w:hAnsi="Verdana" w:cs="Times New Roman"/>
          <w:color w:val="000000"/>
          <w:lang w:eastAsia="en-PH"/>
        </w:rPr>
      </w:pPr>
    </w:p>
    <w:p w:rsidR="00460E8B" w:rsidRPr="00460E8B" w:rsidRDefault="00460E8B" w:rsidP="00460E8B">
      <w:pPr>
        <w:spacing w:after="0" w:line="240" w:lineRule="auto"/>
        <w:rPr>
          <w:rFonts w:ascii="Verdana" w:eastAsia="Times New Roman" w:hAnsi="Verdana" w:cs="Times New Roman"/>
          <w:color w:val="000000"/>
          <w:highlight w:val="yellow"/>
          <w:lang w:eastAsia="en-PH"/>
        </w:rPr>
      </w:pPr>
      <w:r w:rsidRPr="00460E8B">
        <w:rPr>
          <w:rFonts w:ascii="Verdana" w:eastAsia="Times New Roman" w:hAnsi="Verdana" w:cs="Times New Roman"/>
          <w:color w:val="000000"/>
          <w:lang w:eastAsia="en-PH"/>
        </w:rPr>
        <w:t xml:space="preserve">The trial court was convinced that Philip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was authorized by his father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in this case by virtue of the special power of attorney that the latter issued. The special power of attorney, it claims, is a public document, the same having been notarized by a notary public of the State of Washington, USA. It said that there being no evidence showing that said document had been falsified, the same was sufficient authority for Philip to represent his father. The Court of Appeals considered the fact that the special power of attorney was not properly authenticated before a consular office to be a mere technicality and could not be the basis for the dismissal of the complaint for lack of cause of action.</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On his part, respondent said the notarized special power of attorney which he appended to the complaint is a public document. It carries with it the presumption of regularity and any suspicion on the authenticity and due execution thereof cannot stand against said presumption absent evidence which is clear and convincing.</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The question to be answered is: Is the Special Power of Attorney supposedly authorizing Philip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xml:space="preserve"> to file the instant case in behalf of his father admissible in evidence?</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highlight w:val="yellow"/>
          <w:lang w:eastAsia="en-PH"/>
        </w:rPr>
        <w:t>In </w:t>
      </w:r>
      <w:r w:rsidRPr="00460E8B">
        <w:rPr>
          <w:rFonts w:ascii="Verdana" w:eastAsia="Times New Roman" w:hAnsi="Verdana" w:cs="Times New Roman"/>
          <w:i/>
          <w:iCs/>
          <w:color w:val="000000"/>
          <w:highlight w:val="yellow"/>
          <w:lang w:eastAsia="en-PH"/>
        </w:rPr>
        <w:t>Lopez v. Court of Appeals</w:t>
      </w:r>
      <w:r w:rsidRPr="00460E8B">
        <w:rPr>
          <w:rFonts w:ascii="Verdana" w:eastAsia="Times New Roman" w:hAnsi="Verdana" w:cs="Times New Roman"/>
          <w:color w:val="000000"/>
          <w:highlight w:val="yellow"/>
          <w:lang w:eastAsia="en-PH"/>
        </w:rPr>
        <w:t>,</w:t>
      </w:r>
      <w:r w:rsidRPr="00D5580A">
        <w:rPr>
          <w:rFonts w:ascii="Verdana" w:eastAsia="Times New Roman" w:hAnsi="Verdana" w:cs="Times New Roman"/>
          <w:color w:val="FF0000"/>
          <w:highlight w:val="yellow"/>
          <w:vertAlign w:val="superscript"/>
          <w:lang w:eastAsia="en-PH"/>
        </w:rPr>
        <w:t xml:space="preserve"> </w:t>
      </w:r>
      <w:r w:rsidRPr="00D5580A">
        <w:rPr>
          <w:rFonts w:ascii="Verdana" w:eastAsia="Times New Roman" w:hAnsi="Verdana" w:cs="Times New Roman"/>
          <w:color w:val="FF0000"/>
          <w:highlight w:val="yellow"/>
          <w:vertAlign w:val="superscript"/>
          <w:lang w:eastAsia="en-PH"/>
        </w:rPr>
        <w:t>[</w:t>
      </w:r>
      <w:r w:rsidRPr="00D5580A">
        <w:rPr>
          <w:rStyle w:val="FootnoteReference"/>
          <w:rFonts w:ascii="Verdana" w:eastAsia="Times New Roman" w:hAnsi="Verdana" w:cs="Times New Roman"/>
          <w:color w:val="FF0000"/>
          <w:highlight w:val="yellow"/>
          <w:lang w:eastAsia="en-PH"/>
        </w:rPr>
        <w:footnoteReference w:id="33"/>
      </w:r>
      <w:r w:rsidRPr="00460E8B">
        <w:rPr>
          <w:rFonts w:ascii="Verdana" w:eastAsia="Times New Roman" w:hAnsi="Verdana" w:cs="Times New Roman"/>
          <w:color w:val="FF0000"/>
          <w:highlight w:val="yellow"/>
          <w:vertAlign w:val="superscript"/>
          <w:lang w:eastAsia="en-PH"/>
        </w:rPr>
        <w:t>]</w:t>
      </w:r>
      <w:r w:rsidRPr="00460E8B">
        <w:rPr>
          <w:rFonts w:ascii="Verdana" w:eastAsia="Times New Roman" w:hAnsi="Verdana" w:cs="Times New Roman"/>
          <w:color w:val="000000"/>
          <w:highlight w:val="yellow"/>
          <w:lang w:eastAsia="en-PH"/>
        </w:rPr>
        <w:t> we have ruled that a special power of attorney executed in a foreign country is, generally, not admissible in evidence as a public document in our courts. In said case, we said:</w:t>
      </w:r>
    </w:p>
    <w:p w:rsidR="00460E8B" w:rsidRPr="00D5580A" w:rsidRDefault="00460E8B" w:rsidP="00460E8B">
      <w:pPr>
        <w:spacing w:after="0" w:line="240" w:lineRule="auto"/>
        <w:rPr>
          <w:rFonts w:ascii="Verdana" w:eastAsia="Times New Roman" w:hAnsi="Verdana" w:cs="Times New Roman"/>
          <w:color w:val="000000"/>
          <w:highlight w:val="yellow"/>
          <w:lang w:eastAsia="en-PH"/>
        </w:rPr>
      </w:pPr>
    </w:p>
    <w:p w:rsidR="00460E8B" w:rsidRPr="00460E8B" w:rsidRDefault="00460E8B" w:rsidP="00460E8B">
      <w:pPr>
        <w:spacing w:after="0" w:line="240" w:lineRule="auto"/>
        <w:ind w:left="720"/>
        <w:rPr>
          <w:rFonts w:asciiTheme="majorHAnsi" w:eastAsia="Times New Roman" w:hAnsiTheme="majorHAnsi" w:cs="Times New Roman"/>
          <w:color w:val="000000"/>
          <w:lang w:eastAsia="en-PH"/>
        </w:rPr>
      </w:pPr>
      <w:r w:rsidRPr="00460E8B">
        <w:rPr>
          <w:rFonts w:asciiTheme="majorHAnsi" w:eastAsia="Times New Roman" w:hAnsiTheme="majorHAnsi" w:cs="Times New Roman"/>
          <w:color w:val="000000"/>
          <w:highlight w:val="yellow"/>
          <w:lang w:eastAsia="en-PH"/>
        </w:rPr>
        <w:t xml:space="preserve">Is the special power of attorney relied upon by </w:t>
      </w:r>
      <w:proofErr w:type="spellStart"/>
      <w:r w:rsidRPr="00460E8B">
        <w:rPr>
          <w:rFonts w:asciiTheme="majorHAnsi" w:eastAsia="Times New Roman" w:hAnsiTheme="majorHAnsi" w:cs="Times New Roman"/>
          <w:color w:val="000000"/>
          <w:highlight w:val="yellow"/>
          <w:lang w:eastAsia="en-PH"/>
        </w:rPr>
        <w:t>Mrs.</w:t>
      </w:r>
      <w:proofErr w:type="spellEnd"/>
      <w:r w:rsidRPr="00460E8B">
        <w:rPr>
          <w:rFonts w:asciiTheme="majorHAnsi" w:eastAsia="Times New Roman" w:hAnsiTheme="majorHAnsi" w:cs="Times New Roman"/>
          <w:color w:val="000000"/>
          <w:highlight w:val="yellow"/>
          <w:lang w:eastAsia="en-PH"/>
        </w:rPr>
        <w:t xml:space="preserve"> Ty a public document? We find that it is. It has been notarized by a notary public or by a competent public official with all the solemnities required by law of a public document. When executed and acknowledged in the Philippines, such a public document or a certified true copy thereof is admissible in evidence. Its due execution and authentication need not be proven unlike a private writing.</w:t>
      </w:r>
      <w:r w:rsidRPr="00460E8B">
        <w:rPr>
          <w:rFonts w:asciiTheme="majorHAnsi" w:eastAsia="Times New Roman" w:hAnsiTheme="majorHAnsi" w:cs="Times New Roman"/>
          <w:color w:val="000000"/>
          <w:lang w:eastAsia="en-PH"/>
        </w:rPr>
        <w:br/>
      </w:r>
      <w:r w:rsidRPr="00460E8B">
        <w:rPr>
          <w:rFonts w:asciiTheme="majorHAnsi" w:eastAsia="Times New Roman" w:hAnsiTheme="majorHAnsi" w:cs="Times New Roman"/>
          <w:color w:val="000000"/>
          <w:lang w:eastAsia="en-PH"/>
        </w:rPr>
        <w:lastRenderedPageBreak/>
        <w:br/>
        <w:t>Section 25,</w:t>
      </w:r>
      <w:r w:rsidRPr="00460E8B">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4"/>
      </w:r>
      <w:r w:rsidRPr="00460E8B">
        <w:rPr>
          <w:rFonts w:ascii="Verdana" w:eastAsia="Times New Roman" w:hAnsi="Verdana" w:cs="Times New Roman"/>
          <w:color w:val="FF0000"/>
          <w:vertAlign w:val="superscript"/>
          <w:lang w:eastAsia="en-PH"/>
        </w:rPr>
        <w:t>]</w:t>
      </w:r>
      <w:r w:rsidRPr="00460E8B">
        <w:rPr>
          <w:rFonts w:asciiTheme="majorHAnsi" w:eastAsia="Times New Roman" w:hAnsiTheme="majorHAnsi" w:cs="Times New Roman"/>
          <w:color w:val="000000"/>
          <w:lang w:eastAsia="en-PH"/>
        </w:rPr>
        <w:t> Rule 132 of the Rules of Court provides -</w:t>
      </w:r>
      <w:r w:rsidRPr="00460E8B">
        <w:rPr>
          <w:rFonts w:asciiTheme="majorHAnsi" w:eastAsia="Times New Roman" w:hAnsiTheme="majorHAnsi" w:cs="Times New Roman"/>
          <w:color w:val="000000"/>
          <w:lang w:eastAsia="en-PH"/>
        </w:rPr>
        <w:br/>
      </w:r>
      <w:r w:rsidRPr="00460E8B">
        <w:rPr>
          <w:rFonts w:asciiTheme="majorHAnsi" w:eastAsia="Times New Roman" w:hAnsiTheme="majorHAnsi" w:cs="Times New Roman"/>
          <w:color w:val="000000"/>
          <w:lang w:eastAsia="en-PH"/>
        </w:rPr>
        <w:br/>
        <w:t xml:space="preserve">Sec. 25. </w:t>
      </w:r>
      <w:proofErr w:type="gramStart"/>
      <w:r w:rsidRPr="00460E8B">
        <w:rPr>
          <w:rFonts w:asciiTheme="majorHAnsi" w:eastAsia="Times New Roman" w:hAnsiTheme="majorHAnsi" w:cs="Times New Roman"/>
          <w:color w:val="000000"/>
          <w:lang w:eastAsia="en-PH"/>
        </w:rPr>
        <w:t>Proof of public or official record.</w:t>
      </w:r>
      <w:proofErr w:type="gramEnd"/>
      <w:r w:rsidRPr="00460E8B">
        <w:rPr>
          <w:rFonts w:asciiTheme="majorHAnsi" w:eastAsia="Times New Roman" w:hAnsiTheme="majorHAnsi" w:cs="Times New Roman"/>
          <w:color w:val="000000"/>
          <w:lang w:eastAsia="en-PH"/>
        </w:rPr>
        <w:t xml:space="preserve"> -- An official record or an entry therein, when admissible for any purpose, may be evidenced by an official publication thereof or by a copy attested by the officer having the legal custody of the record, or by his deputy, and accompanied, if the record is not kept in the Philippines, with a certificate that such officer has the custody. If the office in which the record is kept is in a foreign country, the certificate may be made by a secretary of embassy or legation, consul general, consul, vice consul, or consular agent or by any officer in the foreign service of the Philippines stationed in the foreign country in which the record is kept, and authenticated by the seal of his office.</w:t>
      </w:r>
      <w:r w:rsidRPr="00460E8B">
        <w:rPr>
          <w:rFonts w:asciiTheme="majorHAnsi" w:eastAsia="Times New Roman" w:hAnsiTheme="majorHAnsi" w:cs="Times New Roman"/>
          <w:color w:val="000000"/>
          <w:lang w:eastAsia="en-PH"/>
        </w:rPr>
        <w:br/>
      </w:r>
      <w:r w:rsidRPr="00460E8B">
        <w:rPr>
          <w:rFonts w:asciiTheme="majorHAnsi" w:eastAsia="Times New Roman" w:hAnsiTheme="majorHAnsi" w:cs="Times New Roman"/>
          <w:color w:val="000000"/>
          <w:lang w:eastAsia="en-PH"/>
        </w:rPr>
        <w:br/>
      </w:r>
      <w:r w:rsidRPr="00460E8B">
        <w:rPr>
          <w:rFonts w:asciiTheme="majorHAnsi" w:eastAsia="Times New Roman" w:hAnsiTheme="majorHAnsi" w:cs="Times New Roman"/>
          <w:color w:val="000000"/>
          <w:highlight w:val="yellow"/>
          <w:lang w:eastAsia="en-PH"/>
        </w:rPr>
        <w:t>From the foregoing provision, </w:t>
      </w:r>
      <w:r w:rsidRPr="00460E8B">
        <w:rPr>
          <w:rFonts w:asciiTheme="majorHAnsi" w:eastAsia="Times New Roman" w:hAnsiTheme="majorHAnsi" w:cs="Times New Roman"/>
          <w:b/>
          <w:bCs/>
          <w:color w:val="000000"/>
          <w:highlight w:val="yellow"/>
          <w:lang w:eastAsia="en-PH"/>
        </w:rPr>
        <w:t>when the special power of attorney is executed and acknowledged before a notary public or other competent official in a foreign country, it cannot be admitted in evidence unless it is certified as such in accordance with the foregoing provision of the rules by a secretary of embassy or legation, consul general, consul, vice consul, or consular agent or by any officer in the foreign service of the Philippines stationed in the foreign country in which the record is kept of said public document and authenticated by the seal of his office.</w:t>
      </w:r>
      <w:r w:rsidRPr="00460E8B">
        <w:rPr>
          <w:rFonts w:asciiTheme="majorHAnsi" w:eastAsia="Times New Roman" w:hAnsiTheme="majorHAnsi" w:cs="Times New Roman"/>
          <w:color w:val="000000"/>
          <w:highlight w:val="yellow"/>
          <w:lang w:eastAsia="en-PH"/>
        </w:rPr>
        <w:t> A city judge-notary who notarized the document, as in this case, cannot issue such certification.</w:t>
      </w:r>
      <w:r w:rsidRPr="00460E8B">
        <w:rPr>
          <w:rFonts w:ascii="Verdana" w:eastAsia="Times New Roman" w:hAnsi="Verdana" w:cs="Times New Roman"/>
          <w:color w:val="000000"/>
          <w:highlight w:val="yellow"/>
          <w:lang w:eastAsia="en-PH"/>
        </w:rPr>
        <w:br/>
      </w:r>
      <w:r w:rsidRPr="00460E8B">
        <w:rPr>
          <w:rFonts w:ascii="Verdana" w:eastAsia="Times New Roman" w:hAnsi="Verdana" w:cs="Times New Roman"/>
          <w:color w:val="000000"/>
          <w:highlight w:val="yellow"/>
          <w:lang w:eastAsia="en-PH"/>
        </w:rPr>
        <w:br/>
      </w:r>
      <w:r w:rsidRPr="00460E8B">
        <w:rPr>
          <w:rFonts w:asciiTheme="majorHAnsi" w:eastAsia="Times New Roman" w:hAnsiTheme="majorHAnsi" w:cs="Times New Roman"/>
          <w:color w:val="000000"/>
          <w:highlight w:val="yellow"/>
          <w:lang w:eastAsia="en-PH"/>
        </w:rPr>
        <w:t xml:space="preserve">Considering that the record of the case does not disclose any compliance with the provisions of Section 25, Rule 132 of the Rules of Court on the part of the petitioner, the special power of attorney in question is not admissible in evidence. As such, </w:t>
      </w:r>
      <w:proofErr w:type="spellStart"/>
      <w:r w:rsidRPr="00460E8B">
        <w:rPr>
          <w:rFonts w:asciiTheme="majorHAnsi" w:eastAsia="Times New Roman" w:hAnsiTheme="majorHAnsi" w:cs="Times New Roman"/>
          <w:color w:val="000000"/>
          <w:highlight w:val="yellow"/>
          <w:lang w:eastAsia="en-PH"/>
        </w:rPr>
        <w:t>Mrs.</w:t>
      </w:r>
      <w:proofErr w:type="spellEnd"/>
      <w:r w:rsidRPr="00460E8B">
        <w:rPr>
          <w:rFonts w:asciiTheme="majorHAnsi" w:eastAsia="Times New Roman" w:hAnsiTheme="majorHAnsi" w:cs="Times New Roman"/>
          <w:color w:val="000000"/>
          <w:highlight w:val="yellow"/>
          <w:lang w:eastAsia="en-PH"/>
        </w:rPr>
        <w:t xml:space="preserve"> Priscilla L. Ty cannot lawfully prosecute the case against the private respondents in the name of her principal as her authority through a special power of attorney had not been duly established in evidence. The litigation was not commenced by the real party-in-interest or by one duly authorized by the said party.</w:t>
      </w:r>
      <w:r w:rsidRPr="00460E8B">
        <w:rPr>
          <w:rFonts w:asciiTheme="majorHAnsi" w:eastAsia="Times New Roman" w:hAnsiTheme="majorHAnsi" w:cs="Times New Roman"/>
          <w:color w:val="000000"/>
          <w:lang w:eastAsia="en-PH"/>
        </w:rPr>
        <w:br/>
      </w:r>
      <w:r w:rsidRPr="00460E8B">
        <w:rPr>
          <w:rFonts w:asciiTheme="majorHAnsi" w:eastAsia="Times New Roman" w:hAnsiTheme="majorHAnsi" w:cs="Times New Roman"/>
          <w:color w:val="000000"/>
          <w:lang w:eastAsia="en-PH"/>
        </w:rPr>
        <w:br/>
        <w:t xml:space="preserve">This being so, the Metropolitan Trial Court, the Regional Trial Court and the Court of Appeals never acquired jurisdiction over the person of the real party-in-interest -- </w:t>
      </w:r>
      <w:proofErr w:type="spellStart"/>
      <w:r w:rsidRPr="00460E8B">
        <w:rPr>
          <w:rFonts w:asciiTheme="majorHAnsi" w:eastAsia="Times New Roman" w:hAnsiTheme="majorHAnsi" w:cs="Times New Roman"/>
          <w:color w:val="000000"/>
          <w:lang w:eastAsia="en-PH"/>
        </w:rPr>
        <w:t>Angelita</w:t>
      </w:r>
      <w:proofErr w:type="spellEnd"/>
      <w:r w:rsidRPr="00460E8B">
        <w:rPr>
          <w:rFonts w:asciiTheme="majorHAnsi" w:eastAsia="Times New Roman" w:hAnsiTheme="majorHAnsi" w:cs="Times New Roman"/>
          <w:color w:val="000000"/>
          <w:lang w:eastAsia="en-PH"/>
        </w:rPr>
        <w:t xml:space="preserve"> Lopez. For lack of the requisite jurisdiction, all the proceedings in the said courts are null and void </w:t>
      </w:r>
      <w:proofErr w:type="spellStart"/>
      <w:r w:rsidRPr="00460E8B">
        <w:rPr>
          <w:rFonts w:asciiTheme="majorHAnsi" w:eastAsia="Times New Roman" w:hAnsiTheme="majorHAnsi" w:cs="Times New Roman"/>
          <w:color w:val="000000"/>
          <w:lang w:eastAsia="en-PH"/>
        </w:rPr>
        <w:t>ab</w:t>
      </w:r>
      <w:proofErr w:type="spellEnd"/>
      <w:r w:rsidRPr="00460E8B">
        <w:rPr>
          <w:rFonts w:asciiTheme="majorHAnsi" w:eastAsia="Times New Roman" w:hAnsiTheme="majorHAnsi" w:cs="Times New Roman"/>
          <w:color w:val="000000"/>
          <w:lang w:eastAsia="en-PH"/>
        </w:rPr>
        <w:t xml:space="preserve"> initio. All proceedings therein should be and are hereby set aside.</w:t>
      </w:r>
      <w:r w:rsidRPr="00460E8B">
        <w:rPr>
          <w:rFonts w:asciiTheme="majorHAnsi" w:eastAsia="Times New Roman" w:hAnsiTheme="majorHAnsi" w:cs="Times New Roman"/>
          <w:color w:val="000000"/>
          <w:lang w:eastAsia="en-PH"/>
        </w:rPr>
        <w:br/>
      </w:r>
      <w:r w:rsidRPr="00460E8B">
        <w:rPr>
          <w:rFonts w:asciiTheme="majorHAnsi" w:eastAsia="Times New Roman" w:hAnsiTheme="majorHAnsi" w:cs="Times New Roman"/>
          <w:color w:val="000000"/>
          <w:lang w:eastAsia="en-PH"/>
        </w:rPr>
        <w:br/>
        <w:t xml:space="preserve">Accordingly, it is </w:t>
      </w:r>
      <w:proofErr w:type="gramStart"/>
      <w:r w:rsidRPr="00460E8B">
        <w:rPr>
          <w:rFonts w:asciiTheme="majorHAnsi" w:eastAsia="Times New Roman" w:hAnsiTheme="majorHAnsi" w:cs="Times New Roman"/>
          <w:color w:val="000000"/>
          <w:lang w:eastAsia="en-PH"/>
        </w:rPr>
        <w:t>Our</w:t>
      </w:r>
      <w:proofErr w:type="gramEnd"/>
      <w:r w:rsidRPr="00460E8B">
        <w:rPr>
          <w:rFonts w:asciiTheme="majorHAnsi" w:eastAsia="Times New Roman" w:hAnsiTheme="majorHAnsi" w:cs="Times New Roman"/>
          <w:color w:val="000000"/>
          <w:lang w:eastAsia="en-PH"/>
        </w:rPr>
        <w:t xml:space="preserve"> considered opinion, and We so hold, that a special power of attorney executed before a city judge-public notary in a foreign country, without the certification or authentication required under Section 25, Rule 132 of the Rules of Court, is not admissible in evidence in Philippine courts. (Emphasis supplied.)</w:t>
      </w:r>
    </w:p>
    <w:p w:rsidR="00460E8B" w:rsidRDefault="00460E8B" w:rsidP="00460E8B">
      <w:pPr>
        <w:spacing w:after="240" w:line="240" w:lineRule="auto"/>
        <w:rPr>
          <w:rFonts w:ascii="Verdana" w:eastAsia="Times New Roman" w:hAnsi="Verdana" w:cs="Times New Roman"/>
          <w:color w:val="000000"/>
          <w:lang w:eastAsia="en-PH"/>
        </w:rPr>
      </w:pPr>
    </w:p>
    <w:p w:rsidR="00460E8B" w:rsidRPr="00460E8B" w:rsidRDefault="00460E8B" w:rsidP="00460E8B">
      <w:pPr>
        <w:spacing w:after="24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highlight w:val="yellow"/>
          <w:lang w:eastAsia="en-PH"/>
        </w:rPr>
        <w:lastRenderedPageBreak/>
        <w:t>In the case under consideration, the supposed special power of attorney involved was executed and acknowledged before Phyllis Perry, a Notary Public of the State of Washington, USA. This being the case, a certification or authentication, as required by Section 25 (now Section 24), Rules of Court, by a secretary of the embassy or legation, consul general, consul, vice consul, or consular agent or by any other officer in the foreign service of the Philippines stationed in the foreign country in which the record is kept, and authenticated by the seal of his office, is required. A notary public in a foreign country is not one of those who can issue the required certificate.</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highlight w:val="yellow"/>
          <w:lang w:eastAsia="en-PH"/>
        </w:rPr>
        <w:t xml:space="preserve">The records are bereft of evidence showing that there was compliance with Section 25 (now Section 24). Non-compliance therewith will render the special power of attorney not admissible in evidence. Not being duly established in evidence, the special power of attorney cannot be used by Philip </w:t>
      </w:r>
      <w:proofErr w:type="spellStart"/>
      <w:r w:rsidRPr="00460E8B">
        <w:rPr>
          <w:rFonts w:ascii="Verdana" w:eastAsia="Times New Roman" w:hAnsi="Verdana" w:cs="Times New Roman"/>
          <w:color w:val="000000"/>
          <w:highlight w:val="yellow"/>
          <w:lang w:eastAsia="en-PH"/>
        </w:rPr>
        <w:t>Natividad</w:t>
      </w:r>
      <w:proofErr w:type="spellEnd"/>
      <w:r w:rsidRPr="00460E8B">
        <w:rPr>
          <w:rFonts w:ascii="Verdana" w:eastAsia="Times New Roman" w:hAnsi="Verdana" w:cs="Times New Roman"/>
          <w:color w:val="000000"/>
          <w:highlight w:val="yellow"/>
          <w:lang w:eastAsia="en-PH"/>
        </w:rPr>
        <w:t xml:space="preserve"> to represent his father, </w:t>
      </w:r>
      <w:proofErr w:type="spellStart"/>
      <w:r w:rsidRPr="00460E8B">
        <w:rPr>
          <w:rFonts w:ascii="Verdana" w:eastAsia="Times New Roman" w:hAnsi="Verdana" w:cs="Times New Roman"/>
          <w:color w:val="000000"/>
          <w:highlight w:val="yellow"/>
          <w:lang w:eastAsia="en-PH"/>
        </w:rPr>
        <w:t>Bonifacio</w:t>
      </w:r>
      <w:proofErr w:type="spellEnd"/>
      <w:r w:rsidRPr="00460E8B">
        <w:rPr>
          <w:rFonts w:ascii="Verdana" w:eastAsia="Times New Roman" w:hAnsi="Verdana" w:cs="Times New Roman"/>
          <w:color w:val="000000"/>
          <w:highlight w:val="yellow"/>
          <w:lang w:eastAsia="en-PH"/>
        </w:rPr>
        <w:t xml:space="preserve"> </w:t>
      </w:r>
      <w:proofErr w:type="spellStart"/>
      <w:r w:rsidRPr="00460E8B">
        <w:rPr>
          <w:rFonts w:ascii="Verdana" w:eastAsia="Times New Roman" w:hAnsi="Verdana" w:cs="Times New Roman"/>
          <w:color w:val="000000"/>
          <w:highlight w:val="yellow"/>
          <w:lang w:eastAsia="en-PH"/>
        </w:rPr>
        <w:t>Natividad</w:t>
      </w:r>
      <w:proofErr w:type="spellEnd"/>
      <w:r w:rsidRPr="00460E8B">
        <w:rPr>
          <w:rFonts w:ascii="Verdana" w:eastAsia="Times New Roman" w:hAnsi="Verdana" w:cs="Times New Roman"/>
          <w:color w:val="000000"/>
          <w:highlight w:val="yellow"/>
          <w:lang w:eastAsia="en-PH"/>
        </w:rPr>
        <w:t>, in this legal action against the petitioners. It is thus clear that this case was not filed by the real party-in-interest (</w:t>
      </w:r>
      <w:proofErr w:type="spellStart"/>
      <w:r w:rsidRPr="00460E8B">
        <w:rPr>
          <w:rFonts w:ascii="Verdana" w:eastAsia="Times New Roman" w:hAnsi="Verdana" w:cs="Times New Roman"/>
          <w:color w:val="000000"/>
          <w:highlight w:val="yellow"/>
          <w:lang w:eastAsia="en-PH"/>
        </w:rPr>
        <w:t>Bonifacio</w:t>
      </w:r>
      <w:proofErr w:type="spellEnd"/>
      <w:r w:rsidRPr="00460E8B">
        <w:rPr>
          <w:rFonts w:ascii="Verdana" w:eastAsia="Times New Roman" w:hAnsi="Verdana" w:cs="Times New Roman"/>
          <w:color w:val="000000"/>
          <w:highlight w:val="yellow"/>
          <w:lang w:eastAsia="en-PH"/>
        </w:rPr>
        <w:t xml:space="preserve">) or by one duly authorized by said party. Not being a real party-in-interest and sans the authority to pursue the case, Philip </w:t>
      </w:r>
      <w:proofErr w:type="spellStart"/>
      <w:r w:rsidRPr="00460E8B">
        <w:rPr>
          <w:rFonts w:ascii="Verdana" w:eastAsia="Times New Roman" w:hAnsi="Verdana" w:cs="Times New Roman"/>
          <w:color w:val="000000"/>
          <w:highlight w:val="yellow"/>
          <w:lang w:eastAsia="en-PH"/>
        </w:rPr>
        <w:t>Natividad</w:t>
      </w:r>
      <w:proofErr w:type="spellEnd"/>
      <w:r w:rsidRPr="00460E8B">
        <w:rPr>
          <w:rFonts w:ascii="Verdana" w:eastAsia="Times New Roman" w:hAnsi="Verdana" w:cs="Times New Roman"/>
          <w:color w:val="000000"/>
          <w:highlight w:val="yellow"/>
          <w:lang w:eastAsia="en-PH"/>
        </w:rPr>
        <w:t xml:space="preserve"> could not have validly commenced this case. The special power of attorney executed before a notary public in a foreign country without the requirements mentioned in Section 25 (now Section 24) of the Rules of Court cannot be admitted in evidence before Philippine courts.</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proofErr w:type="gramStart"/>
      <w:r w:rsidRPr="00460E8B">
        <w:rPr>
          <w:rFonts w:ascii="Verdana" w:eastAsia="Times New Roman" w:hAnsi="Verdana" w:cs="Times New Roman"/>
          <w:color w:val="000000"/>
          <w:lang w:eastAsia="en-PH"/>
        </w:rPr>
        <w:t>Both lower courts and respondent's contention that the lack of consular authentication is a mere technicality that can be brushed aside in order to uphold substantial justice, is untenable.</w:t>
      </w:r>
      <w:proofErr w:type="gramEnd"/>
      <w:r w:rsidRPr="00460E8B">
        <w:rPr>
          <w:rFonts w:ascii="Verdana" w:eastAsia="Times New Roman" w:hAnsi="Verdana" w:cs="Times New Roman"/>
          <w:color w:val="000000"/>
          <w:lang w:eastAsia="en-PH"/>
        </w:rPr>
        <w:t xml:space="preserve"> </w:t>
      </w:r>
      <w:r w:rsidRPr="00460E8B">
        <w:rPr>
          <w:rFonts w:ascii="Verdana" w:eastAsia="Times New Roman" w:hAnsi="Verdana" w:cs="Times New Roman"/>
          <w:color w:val="000000"/>
          <w:highlight w:val="yellow"/>
          <w:lang w:eastAsia="en-PH"/>
        </w:rPr>
        <w:t>The failure to have the special power of attorney authenticated is not merely a technicality -- it is a question of jurisdiction. In </w:t>
      </w:r>
      <w:r w:rsidRPr="00460E8B">
        <w:rPr>
          <w:rFonts w:ascii="Verdana" w:eastAsia="Times New Roman" w:hAnsi="Verdana" w:cs="Times New Roman"/>
          <w:i/>
          <w:iCs/>
          <w:color w:val="000000"/>
          <w:highlight w:val="yellow"/>
          <w:lang w:eastAsia="en-PH"/>
        </w:rPr>
        <w:t>Lopez</w:t>
      </w:r>
      <w:r w:rsidRPr="00460E8B">
        <w:rPr>
          <w:rFonts w:ascii="Verdana" w:eastAsia="Times New Roman" w:hAnsi="Verdana" w:cs="Times New Roman"/>
          <w:color w:val="000000"/>
          <w:highlight w:val="yellow"/>
          <w:lang w:eastAsia="en-PH"/>
        </w:rPr>
        <w:t>, we pronounced that jurisdiction over the person of the real party-in-interest was never acquired by the courts. As a result, all proceedings in the lower courts were declared null and void </w:t>
      </w:r>
      <w:proofErr w:type="spellStart"/>
      <w:r w:rsidRPr="00460E8B">
        <w:rPr>
          <w:rFonts w:ascii="Verdana" w:eastAsia="Times New Roman" w:hAnsi="Verdana" w:cs="Times New Roman"/>
          <w:i/>
          <w:iCs/>
          <w:color w:val="000000"/>
          <w:highlight w:val="yellow"/>
          <w:lang w:eastAsia="en-PH"/>
        </w:rPr>
        <w:t>ab</w:t>
      </w:r>
      <w:proofErr w:type="spellEnd"/>
      <w:r w:rsidRPr="00460E8B">
        <w:rPr>
          <w:rFonts w:ascii="Verdana" w:eastAsia="Times New Roman" w:hAnsi="Verdana" w:cs="Times New Roman"/>
          <w:i/>
          <w:iCs/>
          <w:color w:val="000000"/>
          <w:highlight w:val="yellow"/>
          <w:lang w:eastAsia="en-PH"/>
        </w:rPr>
        <w:t xml:space="preserve"> initio</w:t>
      </w:r>
      <w:r w:rsidRPr="00460E8B">
        <w:rPr>
          <w:rFonts w:ascii="Verdana" w:eastAsia="Times New Roman" w:hAnsi="Verdana" w:cs="Times New Roman"/>
          <w:color w:val="000000"/>
          <w:highlight w:val="yellow"/>
          <w:lang w:eastAsia="en-PH"/>
        </w:rPr>
        <w:t> and thus set aside.</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t xml:space="preserve">In the case before us, the Regional Trial Court and the Court of Appeals did not acquire jurisdiction over the person of </w:t>
      </w:r>
      <w:proofErr w:type="spellStart"/>
      <w:r w:rsidRPr="00460E8B">
        <w:rPr>
          <w:rFonts w:ascii="Verdana" w:eastAsia="Times New Roman" w:hAnsi="Verdana" w:cs="Times New Roman"/>
          <w:color w:val="000000"/>
          <w:lang w:eastAsia="en-PH"/>
        </w:rPr>
        <w:t>Bonifacio</w:t>
      </w:r>
      <w:proofErr w:type="spellEnd"/>
      <w:r w:rsidRPr="00460E8B">
        <w:rPr>
          <w:rFonts w:ascii="Verdana" w:eastAsia="Times New Roman" w:hAnsi="Verdana" w:cs="Times New Roman"/>
          <w:color w:val="000000"/>
          <w:lang w:eastAsia="en-PH"/>
        </w:rPr>
        <w:t xml:space="preserve"> </w:t>
      </w:r>
      <w:proofErr w:type="spellStart"/>
      <w:r w:rsidRPr="00460E8B">
        <w:rPr>
          <w:rFonts w:ascii="Verdana" w:eastAsia="Times New Roman" w:hAnsi="Verdana" w:cs="Times New Roman"/>
          <w:color w:val="000000"/>
          <w:lang w:eastAsia="en-PH"/>
        </w:rPr>
        <w:t>Natividad</w:t>
      </w:r>
      <w:proofErr w:type="spellEnd"/>
      <w:r w:rsidRPr="00460E8B">
        <w:rPr>
          <w:rFonts w:ascii="Verdana" w:eastAsia="Times New Roman" w:hAnsi="Verdana" w:cs="Times New Roman"/>
          <w:color w:val="000000"/>
          <w:lang w:eastAsia="en-PH"/>
        </w:rPr>
        <w:t>. Following our pronouncement in </w:t>
      </w:r>
      <w:r w:rsidRPr="00460E8B">
        <w:rPr>
          <w:rFonts w:ascii="Verdana" w:eastAsia="Times New Roman" w:hAnsi="Verdana" w:cs="Times New Roman"/>
          <w:i/>
          <w:iCs/>
          <w:color w:val="000000"/>
          <w:lang w:eastAsia="en-PH"/>
        </w:rPr>
        <w:t>Lopez</w:t>
      </w:r>
      <w:r w:rsidRPr="00460E8B">
        <w:rPr>
          <w:rFonts w:ascii="Verdana" w:eastAsia="Times New Roman" w:hAnsi="Verdana" w:cs="Times New Roman"/>
          <w:color w:val="000000"/>
          <w:lang w:eastAsia="en-PH"/>
        </w:rPr>
        <w:t>, all proceedings before these courts are voided and set aside. In light of this, we find no need to discuss the other issues raised.</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r w:rsidRPr="00460E8B">
        <w:rPr>
          <w:rFonts w:ascii="Verdana" w:eastAsia="Times New Roman" w:hAnsi="Verdana" w:cs="Times New Roman"/>
          <w:b/>
          <w:bCs/>
          <w:color w:val="000000"/>
          <w:lang w:eastAsia="en-PH"/>
        </w:rPr>
        <w:t>WHEREFORE</w:t>
      </w:r>
      <w:r w:rsidRPr="00460E8B">
        <w:rPr>
          <w:rFonts w:ascii="Verdana" w:eastAsia="Times New Roman" w:hAnsi="Verdana" w:cs="Times New Roman"/>
          <w:color w:val="000000"/>
          <w:lang w:eastAsia="en-PH"/>
        </w:rPr>
        <w:t>, premises considered, the instant petition is </w:t>
      </w:r>
      <w:r w:rsidRPr="00460E8B">
        <w:rPr>
          <w:rFonts w:ascii="Verdana" w:eastAsia="Times New Roman" w:hAnsi="Verdana" w:cs="Times New Roman"/>
          <w:b/>
          <w:bCs/>
          <w:color w:val="000000"/>
          <w:lang w:eastAsia="en-PH"/>
        </w:rPr>
        <w:t>GRANTED</w:t>
      </w:r>
      <w:r w:rsidRPr="00460E8B">
        <w:rPr>
          <w:rFonts w:ascii="Verdana" w:eastAsia="Times New Roman" w:hAnsi="Verdana" w:cs="Times New Roman"/>
          <w:color w:val="000000"/>
          <w:lang w:eastAsia="en-PH"/>
        </w:rPr>
        <w:t xml:space="preserve">. All the proceedings before the Regional Trial Court of </w:t>
      </w:r>
      <w:proofErr w:type="spellStart"/>
      <w:r w:rsidRPr="00460E8B">
        <w:rPr>
          <w:rFonts w:ascii="Verdana" w:eastAsia="Times New Roman" w:hAnsi="Verdana" w:cs="Times New Roman"/>
          <w:color w:val="000000"/>
          <w:lang w:eastAsia="en-PH"/>
        </w:rPr>
        <w:t>Guimba</w:t>
      </w:r>
      <w:proofErr w:type="spellEnd"/>
      <w:r w:rsidRPr="00460E8B">
        <w:rPr>
          <w:rFonts w:ascii="Verdana" w:eastAsia="Times New Roman" w:hAnsi="Verdana" w:cs="Times New Roman"/>
          <w:color w:val="000000"/>
          <w:lang w:eastAsia="en-PH"/>
        </w:rPr>
        <w:t xml:space="preserve">, Nueva </w:t>
      </w:r>
      <w:proofErr w:type="spellStart"/>
      <w:r w:rsidRPr="00460E8B">
        <w:rPr>
          <w:rFonts w:ascii="Verdana" w:eastAsia="Times New Roman" w:hAnsi="Verdana" w:cs="Times New Roman"/>
          <w:color w:val="000000"/>
          <w:lang w:eastAsia="en-PH"/>
        </w:rPr>
        <w:t>Ecija</w:t>
      </w:r>
      <w:proofErr w:type="spellEnd"/>
      <w:r w:rsidRPr="00460E8B">
        <w:rPr>
          <w:rFonts w:ascii="Verdana" w:eastAsia="Times New Roman" w:hAnsi="Verdana" w:cs="Times New Roman"/>
          <w:color w:val="000000"/>
          <w:lang w:eastAsia="en-PH"/>
        </w:rPr>
        <w:t>, Branch 33 (Civil Case No. 1165-G) and the Court of Appeals (CA-G.R. CV No. 82160) are hereby declared void, and the case is hereby </w:t>
      </w:r>
      <w:r w:rsidRPr="00460E8B">
        <w:rPr>
          <w:rFonts w:ascii="Verdana" w:eastAsia="Times New Roman" w:hAnsi="Verdana" w:cs="Times New Roman"/>
          <w:b/>
          <w:bCs/>
          <w:color w:val="000000"/>
          <w:lang w:eastAsia="en-PH"/>
        </w:rPr>
        <w:t>DISMISSED</w:t>
      </w:r>
      <w:r w:rsidRPr="00460E8B">
        <w:rPr>
          <w:rFonts w:ascii="Verdana" w:eastAsia="Times New Roman" w:hAnsi="Verdana" w:cs="Times New Roman"/>
          <w:color w:val="000000"/>
          <w:lang w:eastAsia="en-PH"/>
        </w:rPr>
        <w:t>. No costs.</w:t>
      </w:r>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proofErr w:type="gramStart"/>
      <w:r w:rsidRPr="00460E8B">
        <w:rPr>
          <w:rFonts w:ascii="Verdana" w:eastAsia="Times New Roman" w:hAnsi="Verdana" w:cs="Times New Roman"/>
          <w:b/>
          <w:bCs/>
          <w:color w:val="000000"/>
          <w:lang w:eastAsia="en-PH"/>
        </w:rPr>
        <w:t>SO ORDERED.</w:t>
      </w:r>
      <w:proofErr w:type="gramEnd"/>
      <w:r w:rsidRPr="00460E8B">
        <w:rPr>
          <w:rFonts w:ascii="Verdana" w:eastAsia="Times New Roman" w:hAnsi="Verdana" w:cs="Times New Roman"/>
          <w:color w:val="000000"/>
          <w:lang w:eastAsia="en-PH"/>
        </w:rPr>
        <w:br/>
      </w:r>
      <w:r w:rsidRPr="00460E8B">
        <w:rPr>
          <w:rFonts w:ascii="Verdana" w:eastAsia="Times New Roman" w:hAnsi="Verdana" w:cs="Times New Roman"/>
          <w:color w:val="000000"/>
          <w:lang w:eastAsia="en-PH"/>
        </w:rPr>
        <w:br/>
      </w:r>
      <w:proofErr w:type="spellStart"/>
      <w:r w:rsidRPr="00460E8B">
        <w:rPr>
          <w:rFonts w:ascii="Verdana" w:eastAsia="Times New Roman" w:hAnsi="Verdana" w:cs="Times New Roman"/>
          <w:i/>
          <w:iCs/>
          <w:color w:val="000000"/>
          <w:lang w:eastAsia="en-PH"/>
        </w:rPr>
        <w:t>Ynares</w:t>
      </w:r>
      <w:proofErr w:type="spellEnd"/>
      <w:r w:rsidRPr="00460E8B">
        <w:rPr>
          <w:rFonts w:ascii="Verdana" w:eastAsia="Times New Roman" w:hAnsi="Verdana" w:cs="Times New Roman"/>
          <w:i/>
          <w:iCs/>
          <w:color w:val="000000"/>
          <w:lang w:eastAsia="en-PH"/>
        </w:rPr>
        <w:t>-Santiago, (Chairperson), Austria-Martinez,</w:t>
      </w:r>
      <w:proofErr w:type="gramStart"/>
      <w:r w:rsidRPr="00460E8B">
        <w:rPr>
          <w:rFonts w:ascii="Verdana" w:eastAsia="Times New Roman" w:hAnsi="Verdana" w:cs="Times New Roman"/>
          <w:i/>
          <w:iCs/>
          <w:color w:val="000000"/>
          <w:lang w:eastAsia="en-PH"/>
        </w:rPr>
        <w:t xml:space="preserve">  </w:t>
      </w:r>
      <w:proofErr w:type="spellStart"/>
      <w:r w:rsidRPr="00460E8B">
        <w:rPr>
          <w:rFonts w:ascii="Verdana" w:eastAsia="Times New Roman" w:hAnsi="Verdana" w:cs="Times New Roman"/>
          <w:i/>
          <w:iCs/>
          <w:color w:val="000000"/>
          <w:lang w:eastAsia="en-PH"/>
        </w:rPr>
        <w:t>Nachura</w:t>
      </w:r>
      <w:proofErr w:type="spellEnd"/>
      <w:proofErr w:type="gramEnd"/>
      <w:r w:rsidRPr="00460E8B">
        <w:rPr>
          <w:rFonts w:ascii="Verdana" w:eastAsia="Times New Roman" w:hAnsi="Verdana" w:cs="Times New Roman"/>
          <w:i/>
          <w:iCs/>
          <w:color w:val="000000"/>
          <w:lang w:eastAsia="en-PH"/>
        </w:rPr>
        <w:t>, </w:t>
      </w:r>
      <w:r w:rsidRPr="00460E8B">
        <w:rPr>
          <w:rFonts w:ascii="Verdana" w:eastAsia="Times New Roman" w:hAnsi="Verdana" w:cs="Times New Roman"/>
          <w:color w:val="000000"/>
          <w:lang w:eastAsia="en-PH"/>
        </w:rPr>
        <w:t>and </w:t>
      </w:r>
      <w:r w:rsidRPr="00460E8B">
        <w:rPr>
          <w:rFonts w:ascii="Verdana" w:eastAsia="Times New Roman" w:hAnsi="Verdana" w:cs="Times New Roman"/>
          <w:i/>
          <w:iCs/>
          <w:color w:val="000000"/>
          <w:lang w:eastAsia="en-PH"/>
        </w:rPr>
        <w:t>Reyes, JJ.</w:t>
      </w:r>
      <w:r w:rsidRPr="00460E8B">
        <w:rPr>
          <w:rFonts w:ascii="Verdana" w:eastAsia="Times New Roman" w:hAnsi="Verdana" w:cs="Times New Roman"/>
          <w:color w:val="000000"/>
          <w:lang w:eastAsia="en-PH"/>
        </w:rPr>
        <w:t>, concur.</w:t>
      </w:r>
      <w:r w:rsidRPr="00460E8B">
        <w:rPr>
          <w:rFonts w:ascii="Verdana" w:eastAsia="Times New Roman" w:hAnsi="Verdana" w:cs="Times New Roman"/>
          <w:color w:val="000000"/>
          <w:lang w:eastAsia="en-PH"/>
        </w:rPr>
        <w:br/>
      </w:r>
    </w:p>
    <w:p w:rsidR="00460E8B" w:rsidRPr="00460E8B" w:rsidRDefault="00460E8B" w:rsidP="00460E8B">
      <w:pPr>
        <w:spacing w:after="0" w:line="240" w:lineRule="auto"/>
        <w:rPr>
          <w:rFonts w:ascii="Verdana" w:eastAsia="Times New Roman" w:hAnsi="Verdana" w:cs="Times New Roman"/>
          <w:color w:val="000000"/>
          <w:lang w:eastAsia="en-PH"/>
        </w:rPr>
      </w:pPr>
      <w:r w:rsidRPr="00460E8B">
        <w:rPr>
          <w:rFonts w:ascii="Verdana" w:eastAsia="Times New Roman" w:hAnsi="Verdana" w:cs="Times New Roman"/>
          <w:color w:val="000000"/>
          <w:lang w:eastAsia="en-PH"/>
        </w:rPr>
        <w:pict>
          <v:rect id="_x0000_i1025" style="width:280.8pt;height:.75pt" o:hrpct="600" o:hrstd="t" o:hrnoshade="t" o:hr="t" fillcolor="#a0a0a0" stroked="f"/>
        </w:pict>
      </w:r>
    </w:p>
    <w:p w:rsidR="00460E8B" w:rsidRPr="00460E8B" w:rsidRDefault="00460E8B" w:rsidP="00460E8B">
      <w:pPr>
        <w:spacing w:before="300" w:after="0" w:line="240" w:lineRule="auto"/>
        <w:jc w:val="center"/>
        <w:rPr>
          <w:rFonts w:ascii="Verdana" w:eastAsia="Times New Roman" w:hAnsi="Verdana" w:cs="Times New Roman"/>
          <w:color w:val="000000"/>
          <w:lang w:eastAsia="en-PH"/>
        </w:rPr>
      </w:pPr>
      <w:r>
        <w:rPr>
          <w:rFonts w:ascii="Verdana" w:eastAsia="Times New Roman" w:hAnsi="Verdana" w:cs="Times New Roman"/>
          <w:color w:val="666666"/>
          <w:sz w:val="15"/>
          <w:szCs w:val="15"/>
          <w:lang w:eastAsia="en-PH"/>
        </w:rPr>
        <w:t>Source: Supreme Court E-Library</w:t>
      </w:r>
    </w:p>
    <w:p w:rsidR="00E13432" w:rsidRDefault="00E13432"/>
    <w:sectPr w:rsidR="00E13432" w:rsidSect="00460E8B">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ED1" w:rsidRDefault="009D6ED1" w:rsidP="00460E8B">
      <w:pPr>
        <w:spacing w:after="0" w:line="240" w:lineRule="auto"/>
      </w:pPr>
      <w:r>
        <w:separator/>
      </w:r>
    </w:p>
  </w:endnote>
  <w:endnote w:type="continuationSeparator" w:id="0">
    <w:p w:rsidR="009D6ED1" w:rsidRDefault="009D6ED1" w:rsidP="00460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ED1" w:rsidRDefault="009D6ED1" w:rsidP="00460E8B">
      <w:pPr>
        <w:spacing w:after="0" w:line="240" w:lineRule="auto"/>
      </w:pPr>
      <w:r>
        <w:separator/>
      </w:r>
    </w:p>
  </w:footnote>
  <w:footnote w:type="continuationSeparator" w:id="0">
    <w:p w:rsidR="009D6ED1" w:rsidRDefault="009D6ED1" w:rsidP="00460E8B">
      <w:pPr>
        <w:spacing w:after="0" w:line="240" w:lineRule="auto"/>
      </w:pPr>
      <w:r>
        <w:continuationSeparator/>
      </w:r>
    </w:p>
  </w:footnote>
  <w:footnote w:id="1">
    <w:p w:rsidR="00460E8B" w:rsidRDefault="00460E8B">
      <w:pPr>
        <w:pStyle w:val="FootnoteText"/>
      </w:pPr>
      <w:r w:rsidRPr="00460E8B">
        <w:rPr>
          <w:rStyle w:val="FootnoteReference"/>
          <w:color w:val="FF0000"/>
        </w:rPr>
        <w:footnoteRef/>
      </w:r>
      <w:r>
        <w:t xml:space="preserve"> </w:t>
      </w:r>
      <w:r w:rsidRPr="00460E8B">
        <w:t xml:space="preserve">Penned by Associate Justice Estela M. </w:t>
      </w:r>
      <w:proofErr w:type="spellStart"/>
      <w:r w:rsidRPr="00460E8B">
        <w:t>Perlas-Bernabe</w:t>
      </w:r>
      <w:proofErr w:type="spellEnd"/>
      <w:r w:rsidRPr="00460E8B">
        <w:t xml:space="preserve"> with Associate Justices Renato C. </w:t>
      </w:r>
      <w:proofErr w:type="spellStart"/>
      <w:r w:rsidRPr="00460E8B">
        <w:t>Dacudao</w:t>
      </w:r>
      <w:proofErr w:type="spellEnd"/>
      <w:r w:rsidRPr="00460E8B">
        <w:t xml:space="preserve"> and </w:t>
      </w:r>
      <w:proofErr w:type="spellStart"/>
      <w:r w:rsidRPr="00460E8B">
        <w:t>Rosmari</w:t>
      </w:r>
      <w:proofErr w:type="spellEnd"/>
      <w:r w:rsidRPr="00460E8B">
        <w:t xml:space="preserve"> D. </w:t>
      </w:r>
      <w:proofErr w:type="spellStart"/>
      <w:r w:rsidRPr="00460E8B">
        <w:t>Carandang</w:t>
      </w:r>
      <w:proofErr w:type="spellEnd"/>
      <w:r w:rsidRPr="00460E8B">
        <w:t xml:space="preserve">, concurring; CA </w:t>
      </w:r>
      <w:proofErr w:type="spellStart"/>
      <w:proofErr w:type="gramStart"/>
      <w:r w:rsidRPr="00460E8B">
        <w:t>rollo</w:t>
      </w:r>
      <w:proofErr w:type="spellEnd"/>
      <w:proofErr w:type="gramEnd"/>
      <w:r w:rsidRPr="00460E8B">
        <w:t>, pp. 104-114.</w:t>
      </w:r>
    </w:p>
  </w:footnote>
  <w:footnote w:id="2">
    <w:p w:rsidR="00460E8B" w:rsidRDefault="00460E8B" w:rsidP="00460E8B">
      <w:pPr>
        <w:pStyle w:val="FootnoteText"/>
      </w:pPr>
      <w:r w:rsidRPr="00460E8B">
        <w:rPr>
          <w:rStyle w:val="FootnoteReference"/>
          <w:color w:val="FF0000"/>
        </w:rPr>
        <w:footnoteRef/>
      </w:r>
      <w:r>
        <w:t xml:space="preserve"> </w:t>
      </w:r>
      <w:r w:rsidRPr="00460E8B">
        <w:t>Records, pp. 178-182.</w:t>
      </w:r>
    </w:p>
  </w:footnote>
  <w:footnote w:id="3">
    <w:p w:rsidR="00460E8B" w:rsidRDefault="00460E8B" w:rsidP="00460E8B">
      <w:pPr>
        <w:pStyle w:val="FootnoteText"/>
      </w:pPr>
      <w:r w:rsidRPr="00460E8B">
        <w:rPr>
          <w:rStyle w:val="FootnoteReference"/>
          <w:color w:val="FF0000"/>
        </w:rPr>
        <w:footnoteRef/>
      </w:r>
      <w:r>
        <w:t xml:space="preserve"> </w:t>
      </w:r>
      <w:r w:rsidRPr="00460E8B">
        <w:t xml:space="preserve">CA </w:t>
      </w:r>
      <w:proofErr w:type="spellStart"/>
      <w:proofErr w:type="gramStart"/>
      <w:r w:rsidRPr="00460E8B">
        <w:t>rollo</w:t>
      </w:r>
      <w:proofErr w:type="spellEnd"/>
      <w:proofErr w:type="gramEnd"/>
      <w:r w:rsidRPr="00460E8B">
        <w:t>, p. 138.</w:t>
      </w:r>
    </w:p>
  </w:footnote>
  <w:footnote w:id="4">
    <w:p w:rsidR="00460E8B" w:rsidRDefault="00460E8B" w:rsidP="00460E8B">
      <w:pPr>
        <w:pStyle w:val="FootnoteText"/>
      </w:pPr>
      <w:r w:rsidRPr="00460E8B">
        <w:rPr>
          <w:rStyle w:val="FootnoteReference"/>
          <w:color w:val="FF0000"/>
        </w:rPr>
        <w:footnoteRef/>
      </w:r>
      <w:r>
        <w:t xml:space="preserve"> </w:t>
      </w:r>
      <w:r w:rsidRPr="00460E8B">
        <w:t>See Sketch; records, p. 23.</w:t>
      </w:r>
    </w:p>
  </w:footnote>
  <w:footnote w:id="5">
    <w:p w:rsidR="00460E8B" w:rsidRDefault="00460E8B" w:rsidP="00460E8B">
      <w:pPr>
        <w:pStyle w:val="FootnoteText"/>
      </w:pPr>
      <w:r w:rsidRPr="00460E8B">
        <w:rPr>
          <w:rStyle w:val="FootnoteReference"/>
          <w:color w:val="FF0000"/>
        </w:rPr>
        <w:footnoteRef/>
      </w:r>
      <w:r>
        <w:t xml:space="preserve"> </w:t>
      </w:r>
      <w:r w:rsidRPr="00460E8B">
        <w:t>Records, pp. 9-10.</w:t>
      </w:r>
    </w:p>
  </w:footnote>
  <w:footnote w:id="6">
    <w:p w:rsidR="00460E8B" w:rsidRDefault="00460E8B" w:rsidP="00460E8B">
      <w:pPr>
        <w:pStyle w:val="FootnoteText"/>
      </w:pPr>
      <w:r w:rsidRPr="00460E8B">
        <w:rPr>
          <w:rStyle w:val="FootnoteReference"/>
          <w:color w:val="FF0000"/>
        </w:rPr>
        <w:footnoteRef/>
      </w:r>
      <w:r>
        <w:t xml:space="preserve"> </w:t>
      </w:r>
      <w:r w:rsidRPr="00460E8B">
        <w:t>Rollo, pp. 78-81.</w:t>
      </w:r>
    </w:p>
  </w:footnote>
  <w:footnote w:id="7">
    <w:p w:rsidR="00460E8B" w:rsidRDefault="00460E8B" w:rsidP="00460E8B">
      <w:pPr>
        <w:pStyle w:val="FootnoteText"/>
      </w:pPr>
      <w:r w:rsidRPr="00460E8B">
        <w:rPr>
          <w:rStyle w:val="FootnoteReference"/>
          <w:color w:val="FF0000"/>
        </w:rPr>
        <w:footnoteRef/>
      </w:r>
      <w:r>
        <w:t xml:space="preserve"> </w:t>
      </w:r>
      <w:r w:rsidRPr="00460E8B">
        <w:t>Id. at 75-77.</w:t>
      </w:r>
    </w:p>
  </w:footnote>
  <w:footnote w:id="8">
    <w:p w:rsidR="00460E8B" w:rsidRDefault="00460E8B" w:rsidP="00460E8B">
      <w:pPr>
        <w:pStyle w:val="FootnoteText"/>
      </w:pPr>
      <w:r w:rsidRPr="00460E8B">
        <w:rPr>
          <w:rStyle w:val="FootnoteReference"/>
          <w:color w:val="FF0000"/>
        </w:rPr>
        <w:footnoteRef/>
      </w:r>
      <w:r>
        <w:t xml:space="preserve"> </w:t>
      </w:r>
      <w:r w:rsidRPr="00460E8B">
        <w:t>Id. at 82-83.</w:t>
      </w:r>
    </w:p>
  </w:footnote>
  <w:footnote w:id="9">
    <w:p w:rsidR="00460E8B" w:rsidRDefault="00460E8B" w:rsidP="00460E8B">
      <w:pPr>
        <w:pStyle w:val="FootnoteText"/>
      </w:pPr>
      <w:r w:rsidRPr="00460E8B">
        <w:rPr>
          <w:rStyle w:val="FootnoteReference"/>
          <w:color w:val="FF0000"/>
        </w:rPr>
        <w:footnoteRef/>
      </w:r>
      <w:r>
        <w:t xml:space="preserve"> </w:t>
      </w:r>
      <w:r w:rsidRPr="00460E8B">
        <w:t>Records, p. 8.</w:t>
      </w:r>
    </w:p>
  </w:footnote>
  <w:footnote w:id="10">
    <w:p w:rsidR="00460E8B" w:rsidRDefault="00460E8B" w:rsidP="00460E8B">
      <w:pPr>
        <w:pStyle w:val="FootnoteText"/>
      </w:pPr>
      <w:r w:rsidRPr="00460E8B">
        <w:rPr>
          <w:rStyle w:val="FootnoteReference"/>
          <w:color w:val="FF0000"/>
        </w:rPr>
        <w:footnoteRef/>
      </w:r>
      <w:r>
        <w:t xml:space="preserve"> </w:t>
      </w:r>
      <w:r w:rsidRPr="00460E8B">
        <w:t>Id. at 2-11.</w:t>
      </w:r>
    </w:p>
  </w:footnote>
  <w:footnote w:id="11">
    <w:p w:rsidR="00460E8B" w:rsidRDefault="00460E8B" w:rsidP="00460E8B">
      <w:pPr>
        <w:pStyle w:val="FootnoteText"/>
      </w:pPr>
      <w:r w:rsidRPr="00460E8B">
        <w:rPr>
          <w:rStyle w:val="FootnoteReference"/>
          <w:color w:val="FF0000"/>
        </w:rPr>
        <w:footnoteRef/>
      </w:r>
      <w:r>
        <w:t xml:space="preserve"> </w:t>
      </w:r>
      <w:r w:rsidRPr="00460E8B">
        <w:t>Id. at 20-23.</w:t>
      </w:r>
    </w:p>
  </w:footnote>
  <w:footnote w:id="12">
    <w:p w:rsidR="00460E8B" w:rsidRDefault="00460E8B" w:rsidP="00460E8B">
      <w:pPr>
        <w:pStyle w:val="FootnoteText"/>
      </w:pPr>
      <w:r w:rsidRPr="00460E8B">
        <w:rPr>
          <w:rStyle w:val="FootnoteReference"/>
          <w:color w:val="FF0000"/>
        </w:rPr>
        <w:footnoteRef/>
      </w:r>
      <w:r>
        <w:t xml:space="preserve"> </w:t>
      </w:r>
      <w:r w:rsidRPr="00460E8B">
        <w:t>Id. at 18-19.</w:t>
      </w:r>
    </w:p>
  </w:footnote>
  <w:footnote w:id="13">
    <w:p w:rsidR="00460E8B" w:rsidRDefault="00460E8B" w:rsidP="00460E8B">
      <w:pPr>
        <w:pStyle w:val="FootnoteText"/>
      </w:pPr>
      <w:r w:rsidRPr="00460E8B">
        <w:rPr>
          <w:rStyle w:val="FootnoteReference"/>
          <w:color w:val="FF0000"/>
        </w:rPr>
        <w:footnoteRef/>
      </w:r>
      <w:r>
        <w:t xml:space="preserve"> </w:t>
      </w:r>
      <w:r w:rsidRPr="00460E8B">
        <w:t>Id. at 32-33.</w:t>
      </w:r>
    </w:p>
  </w:footnote>
  <w:footnote w:id="14">
    <w:p w:rsidR="00460E8B" w:rsidRDefault="00460E8B" w:rsidP="00460E8B">
      <w:pPr>
        <w:pStyle w:val="FootnoteText"/>
      </w:pPr>
      <w:r w:rsidRPr="00460E8B">
        <w:rPr>
          <w:rStyle w:val="FootnoteReference"/>
          <w:color w:val="FF0000"/>
        </w:rPr>
        <w:footnoteRef/>
      </w:r>
      <w:r>
        <w:t xml:space="preserve"> </w:t>
      </w:r>
      <w:r w:rsidRPr="00460E8B">
        <w:t>Id. at 36-37.</w:t>
      </w:r>
    </w:p>
  </w:footnote>
  <w:footnote w:id="15">
    <w:p w:rsidR="00460E8B" w:rsidRDefault="00460E8B" w:rsidP="00460E8B">
      <w:pPr>
        <w:pStyle w:val="FootnoteText"/>
      </w:pPr>
      <w:r w:rsidRPr="00460E8B">
        <w:rPr>
          <w:rStyle w:val="FootnoteReference"/>
          <w:color w:val="FF0000"/>
        </w:rPr>
        <w:footnoteRef/>
      </w:r>
      <w:r>
        <w:t xml:space="preserve"> </w:t>
      </w:r>
      <w:r w:rsidRPr="00460E8B">
        <w:t>Id. at 38-40.</w:t>
      </w:r>
    </w:p>
  </w:footnote>
  <w:footnote w:id="16">
    <w:p w:rsidR="00460E8B" w:rsidRDefault="00460E8B" w:rsidP="00460E8B">
      <w:pPr>
        <w:pStyle w:val="FootnoteText"/>
      </w:pPr>
      <w:r w:rsidRPr="00460E8B">
        <w:rPr>
          <w:rStyle w:val="FootnoteReference"/>
          <w:color w:val="FF0000"/>
        </w:rPr>
        <w:footnoteRef/>
      </w:r>
      <w:r>
        <w:t xml:space="preserve"> </w:t>
      </w:r>
      <w:r w:rsidRPr="00460E8B">
        <w:t>Id. at 43-45.</w:t>
      </w:r>
    </w:p>
  </w:footnote>
  <w:footnote w:id="17">
    <w:p w:rsidR="00460E8B" w:rsidRDefault="00460E8B" w:rsidP="00460E8B">
      <w:pPr>
        <w:pStyle w:val="FootnoteText"/>
      </w:pPr>
      <w:r w:rsidRPr="00460E8B">
        <w:rPr>
          <w:rStyle w:val="FootnoteReference"/>
          <w:color w:val="FF0000"/>
        </w:rPr>
        <w:footnoteRef/>
      </w:r>
      <w:r>
        <w:t xml:space="preserve"> </w:t>
      </w:r>
      <w:proofErr w:type="gramStart"/>
      <w:r w:rsidRPr="00460E8B">
        <w:t>Id. at 52.</w:t>
      </w:r>
      <w:proofErr w:type="gramEnd"/>
    </w:p>
  </w:footnote>
  <w:footnote w:id="18">
    <w:p w:rsidR="00460E8B" w:rsidRDefault="00460E8B" w:rsidP="00460E8B">
      <w:pPr>
        <w:pStyle w:val="FootnoteText"/>
      </w:pPr>
      <w:r w:rsidRPr="00460E8B">
        <w:rPr>
          <w:rStyle w:val="FootnoteReference"/>
          <w:color w:val="FF0000"/>
        </w:rPr>
        <w:footnoteRef/>
      </w:r>
      <w:r>
        <w:t xml:space="preserve"> </w:t>
      </w:r>
      <w:r w:rsidRPr="00460E8B">
        <w:t>Id. at 58-59.</w:t>
      </w:r>
    </w:p>
  </w:footnote>
  <w:footnote w:id="19">
    <w:p w:rsidR="00460E8B" w:rsidRDefault="00460E8B" w:rsidP="00460E8B">
      <w:pPr>
        <w:pStyle w:val="FootnoteText"/>
      </w:pPr>
      <w:r w:rsidRPr="00460E8B">
        <w:rPr>
          <w:rStyle w:val="FootnoteReference"/>
          <w:color w:val="FF0000"/>
        </w:rPr>
        <w:footnoteRef/>
      </w:r>
      <w:r>
        <w:t xml:space="preserve"> </w:t>
      </w:r>
      <w:r w:rsidRPr="00460E8B">
        <w:t>Id. at 79-81.</w:t>
      </w:r>
    </w:p>
  </w:footnote>
  <w:footnote w:id="20">
    <w:p w:rsidR="00460E8B" w:rsidRDefault="00460E8B" w:rsidP="00460E8B">
      <w:pPr>
        <w:pStyle w:val="FootnoteText"/>
      </w:pPr>
      <w:r w:rsidRPr="00460E8B">
        <w:rPr>
          <w:rStyle w:val="FootnoteReference"/>
          <w:color w:val="FF0000"/>
        </w:rPr>
        <w:footnoteRef/>
      </w:r>
      <w:r>
        <w:t xml:space="preserve"> </w:t>
      </w:r>
      <w:r w:rsidRPr="00460E8B">
        <w:t>Id. at 90-91.</w:t>
      </w:r>
    </w:p>
  </w:footnote>
  <w:footnote w:id="21">
    <w:p w:rsidR="00460E8B" w:rsidRDefault="00460E8B" w:rsidP="00460E8B">
      <w:pPr>
        <w:pStyle w:val="FootnoteText"/>
      </w:pPr>
      <w:r w:rsidRPr="00460E8B">
        <w:rPr>
          <w:rStyle w:val="FootnoteReference"/>
          <w:color w:val="FF0000"/>
        </w:rPr>
        <w:footnoteRef/>
      </w:r>
      <w:r>
        <w:t xml:space="preserve"> </w:t>
      </w:r>
      <w:r w:rsidRPr="00460E8B">
        <w:t>Id. at 102-103.</w:t>
      </w:r>
    </w:p>
  </w:footnote>
  <w:footnote w:id="22">
    <w:p w:rsidR="00460E8B" w:rsidRDefault="00460E8B" w:rsidP="00460E8B">
      <w:pPr>
        <w:pStyle w:val="FootnoteText"/>
      </w:pPr>
      <w:r w:rsidRPr="00460E8B">
        <w:rPr>
          <w:rStyle w:val="FootnoteReference"/>
          <w:color w:val="FF0000"/>
        </w:rPr>
        <w:footnoteRef/>
      </w:r>
      <w:r>
        <w:t xml:space="preserve"> </w:t>
      </w:r>
      <w:proofErr w:type="gramStart"/>
      <w:r w:rsidRPr="00460E8B">
        <w:t>Id. at 148.</w:t>
      </w:r>
      <w:proofErr w:type="gramEnd"/>
    </w:p>
  </w:footnote>
  <w:footnote w:id="23">
    <w:p w:rsidR="00460E8B" w:rsidRDefault="00460E8B" w:rsidP="00460E8B">
      <w:pPr>
        <w:pStyle w:val="FootnoteText"/>
      </w:pPr>
      <w:r w:rsidRPr="00460E8B">
        <w:rPr>
          <w:rStyle w:val="FootnoteReference"/>
          <w:color w:val="FF0000"/>
        </w:rPr>
        <w:footnoteRef/>
      </w:r>
      <w:r>
        <w:t xml:space="preserve"> </w:t>
      </w:r>
      <w:r w:rsidRPr="00460E8B">
        <w:t>Pre-Trial Order; Records, p. 145.</w:t>
      </w:r>
    </w:p>
  </w:footnote>
  <w:footnote w:id="24">
    <w:p w:rsidR="00460E8B" w:rsidRDefault="00460E8B" w:rsidP="00460E8B">
      <w:pPr>
        <w:pStyle w:val="FootnoteText"/>
      </w:pPr>
      <w:r w:rsidRPr="00460E8B">
        <w:rPr>
          <w:rStyle w:val="FootnoteReference"/>
          <w:color w:val="FF0000"/>
        </w:rPr>
        <w:footnoteRef/>
      </w:r>
      <w:r>
        <w:t xml:space="preserve"> </w:t>
      </w:r>
      <w:r w:rsidRPr="00460E8B">
        <w:t>Records, p. 182.</w:t>
      </w:r>
    </w:p>
  </w:footnote>
  <w:footnote w:id="25">
    <w:p w:rsidR="00460E8B" w:rsidRDefault="00460E8B" w:rsidP="00460E8B">
      <w:pPr>
        <w:pStyle w:val="FootnoteText"/>
      </w:pPr>
      <w:r w:rsidRPr="00460E8B">
        <w:rPr>
          <w:rStyle w:val="FootnoteReference"/>
          <w:color w:val="FF0000"/>
        </w:rPr>
        <w:footnoteRef/>
      </w:r>
      <w:r>
        <w:t xml:space="preserve"> </w:t>
      </w:r>
      <w:proofErr w:type="gramStart"/>
      <w:r w:rsidR="004B3E44" w:rsidRPr="004B3E44">
        <w:t>Id. at 187.</w:t>
      </w:r>
      <w:proofErr w:type="gramEnd"/>
    </w:p>
  </w:footnote>
  <w:footnote w:id="26">
    <w:p w:rsidR="00460E8B" w:rsidRDefault="00460E8B" w:rsidP="00460E8B">
      <w:pPr>
        <w:pStyle w:val="FootnoteText"/>
      </w:pPr>
      <w:r w:rsidRPr="00460E8B">
        <w:rPr>
          <w:rStyle w:val="FootnoteReference"/>
          <w:color w:val="FF0000"/>
        </w:rPr>
        <w:footnoteRef/>
      </w:r>
      <w:r>
        <w:t xml:space="preserve"> </w:t>
      </w:r>
      <w:proofErr w:type="gramStart"/>
      <w:r w:rsidR="004B3E44" w:rsidRPr="004B3E44">
        <w:t>Id. at 188.</w:t>
      </w:r>
      <w:proofErr w:type="gramEnd"/>
    </w:p>
  </w:footnote>
  <w:footnote w:id="27">
    <w:p w:rsidR="00460E8B" w:rsidRDefault="00460E8B" w:rsidP="00460E8B">
      <w:pPr>
        <w:pStyle w:val="FootnoteText"/>
      </w:pPr>
      <w:r w:rsidRPr="00460E8B">
        <w:rPr>
          <w:rStyle w:val="FootnoteReference"/>
          <w:color w:val="FF0000"/>
        </w:rPr>
        <w:footnoteRef/>
      </w:r>
      <w:r>
        <w:t xml:space="preserve"> </w:t>
      </w:r>
      <w:r w:rsidR="004B3E44" w:rsidRPr="004B3E44">
        <w:t>Id. at 192-193.</w:t>
      </w:r>
    </w:p>
  </w:footnote>
  <w:footnote w:id="28">
    <w:p w:rsidR="00460E8B" w:rsidRDefault="00460E8B" w:rsidP="00460E8B">
      <w:pPr>
        <w:pStyle w:val="FootnoteText"/>
      </w:pPr>
      <w:r w:rsidRPr="00460E8B">
        <w:rPr>
          <w:rStyle w:val="FootnoteReference"/>
          <w:color w:val="FF0000"/>
        </w:rPr>
        <w:footnoteRef/>
      </w:r>
      <w:r>
        <w:t xml:space="preserve"> </w:t>
      </w:r>
      <w:r w:rsidR="004B3E44" w:rsidRPr="004B3E44">
        <w:t>Id. at 203-205.</w:t>
      </w:r>
    </w:p>
  </w:footnote>
  <w:footnote w:id="29">
    <w:p w:rsidR="00460E8B" w:rsidRDefault="00460E8B" w:rsidP="00460E8B">
      <w:pPr>
        <w:pStyle w:val="FootnoteText"/>
      </w:pPr>
      <w:r w:rsidRPr="00460E8B">
        <w:rPr>
          <w:rStyle w:val="FootnoteReference"/>
          <w:color w:val="FF0000"/>
        </w:rPr>
        <w:footnoteRef/>
      </w:r>
      <w:r>
        <w:t xml:space="preserve"> </w:t>
      </w:r>
      <w:r w:rsidR="004B3E44" w:rsidRPr="004B3E44">
        <w:t xml:space="preserve">CA </w:t>
      </w:r>
      <w:proofErr w:type="spellStart"/>
      <w:proofErr w:type="gramStart"/>
      <w:r w:rsidR="004B3E44" w:rsidRPr="004B3E44">
        <w:t>rollo</w:t>
      </w:r>
      <w:proofErr w:type="spellEnd"/>
      <w:proofErr w:type="gramEnd"/>
      <w:r w:rsidR="004B3E44" w:rsidRPr="004B3E44">
        <w:t>, p. 114.</w:t>
      </w:r>
    </w:p>
  </w:footnote>
  <w:footnote w:id="30">
    <w:p w:rsidR="00460E8B" w:rsidRDefault="00460E8B" w:rsidP="00460E8B">
      <w:pPr>
        <w:pStyle w:val="FootnoteText"/>
      </w:pPr>
      <w:r w:rsidRPr="00460E8B">
        <w:rPr>
          <w:rStyle w:val="FootnoteReference"/>
          <w:color w:val="FF0000"/>
        </w:rPr>
        <w:footnoteRef/>
      </w:r>
      <w:r>
        <w:t xml:space="preserve"> </w:t>
      </w:r>
      <w:r w:rsidR="004B3E44" w:rsidRPr="004B3E44">
        <w:t>Id. at 117-130.</w:t>
      </w:r>
    </w:p>
  </w:footnote>
  <w:footnote w:id="31">
    <w:p w:rsidR="00460E8B" w:rsidRDefault="00460E8B" w:rsidP="00460E8B">
      <w:pPr>
        <w:pStyle w:val="FootnoteText"/>
      </w:pPr>
      <w:r w:rsidRPr="00460E8B">
        <w:rPr>
          <w:rStyle w:val="FootnoteReference"/>
          <w:color w:val="FF0000"/>
        </w:rPr>
        <w:footnoteRef/>
      </w:r>
      <w:r>
        <w:t xml:space="preserve"> </w:t>
      </w:r>
      <w:proofErr w:type="gramStart"/>
      <w:r w:rsidR="004B3E44" w:rsidRPr="004B3E44">
        <w:t>Id. at 138.</w:t>
      </w:r>
      <w:proofErr w:type="gramEnd"/>
    </w:p>
  </w:footnote>
  <w:footnote w:id="32">
    <w:p w:rsidR="00460E8B" w:rsidRDefault="00460E8B" w:rsidP="00460E8B">
      <w:pPr>
        <w:pStyle w:val="FootnoteText"/>
      </w:pPr>
      <w:r w:rsidRPr="00460E8B">
        <w:rPr>
          <w:rStyle w:val="FootnoteReference"/>
          <w:color w:val="FF0000"/>
        </w:rPr>
        <w:footnoteRef/>
      </w:r>
      <w:r>
        <w:t xml:space="preserve"> </w:t>
      </w:r>
      <w:r w:rsidR="004B3E44" w:rsidRPr="004B3E44">
        <w:t>Rollo, pp. 47-49.</w:t>
      </w:r>
    </w:p>
  </w:footnote>
  <w:footnote w:id="33">
    <w:p w:rsidR="00460E8B" w:rsidRDefault="00460E8B" w:rsidP="00460E8B">
      <w:pPr>
        <w:pStyle w:val="FootnoteText"/>
      </w:pPr>
      <w:r w:rsidRPr="00460E8B">
        <w:rPr>
          <w:rStyle w:val="FootnoteReference"/>
          <w:color w:val="FF0000"/>
        </w:rPr>
        <w:footnoteRef/>
      </w:r>
      <w:r>
        <w:t xml:space="preserve"> </w:t>
      </w:r>
      <w:r w:rsidR="004B3E44" w:rsidRPr="004B3E44">
        <w:t>G.R. No. 77008, 29 December 1987, 156 SCRA 838, 841-843.</w:t>
      </w:r>
    </w:p>
  </w:footnote>
  <w:footnote w:id="34">
    <w:p w:rsidR="00460E8B" w:rsidRDefault="00460E8B" w:rsidP="00460E8B">
      <w:pPr>
        <w:pStyle w:val="FootnoteText"/>
      </w:pPr>
      <w:r w:rsidRPr="00460E8B">
        <w:rPr>
          <w:rStyle w:val="FootnoteReference"/>
          <w:color w:val="FF0000"/>
        </w:rPr>
        <w:footnoteRef/>
      </w:r>
      <w:r>
        <w:t xml:space="preserve"> </w:t>
      </w:r>
      <w:proofErr w:type="gramStart"/>
      <w:r w:rsidR="004B3E44" w:rsidRPr="004B3E44">
        <w:t>Now Section 24, Rule 132 of the Rules of Court.</w:t>
      </w:r>
      <w:proofErr w:type="gramEnd"/>
    </w:p>
    <w:p w:rsidR="004B3E44" w:rsidRDefault="004B3E44" w:rsidP="00460E8B">
      <w:pPr>
        <w:pStyle w:val="FootnoteText"/>
      </w:pPr>
    </w:p>
    <w:p w:rsidR="004B3E44" w:rsidRDefault="004B3E44" w:rsidP="00460E8B">
      <w:pPr>
        <w:pStyle w:val="FootnoteText"/>
      </w:pPr>
      <w:r>
        <w:tab/>
      </w:r>
      <w:proofErr w:type="gramStart"/>
      <w:r w:rsidRPr="004B3E44">
        <w:t>Sec. 24.</w:t>
      </w:r>
      <w:proofErr w:type="gramEnd"/>
      <w:r w:rsidRPr="004B3E44">
        <w:t xml:space="preserve"> </w:t>
      </w:r>
      <w:proofErr w:type="gramStart"/>
      <w:r w:rsidRPr="004B3E44">
        <w:t>Proof of official record.</w:t>
      </w:r>
      <w:proofErr w:type="gramEnd"/>
      <w:r w:rsidRPr="004B3E44">
        <w:t xml:space="preserve"> - The record of public documents referred to in paragraph (a) of Section 19, when admissible for any purpose, may be evidenced by an official publication thereof or by a copy attested by the officer having the legal custody of the record, or by his deputy, and accompanied, if the record is not kept in the Philippines, with a certificate that such officer has the custody. If the office in which the record is kept is in a foreign country, the certificate may be made by a secretary of the embassy or legation, consul general, consul, vice consul, or consular agent or by any officer in the foreign service of the Philippines stationed in the foreign country in which the record is kept, and authenticated by the seal of his office.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66959"/>
    <w:multiLevelType w:val="multilevel"/>
    <w:tmpl w:val="ADECACB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19CD100C"/>
    <w:multiLevelType w:val="multilevel"/>
    <w:tmpl w:val="BBE4B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38845F5"/>
    <w:multiLevelType w:val="multilevel"/>
    <w:tmpl w:val="25FC88B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ED635CE"/>
    <w:multiLevelType w:val="multilevel"/>
    <w:tmpl w:val="AEE4D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E8B"/>
    <w:rsid w:val="002E764E"/>
    <w:rsid w:val="00460E8B"/>
    <w:rsid w:val="004B3E44"/>
    <w:rsid w:val="005C2C64"/>
    <w:rsid w:val="00841205"/>
    <w:rsid w:val="009D6ED1"/>
    <w:rsid w:val="00D34D69"/>
    <w:rsid w:val="00D5580A"/>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60E8B"/>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60E8B"/>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60E8B"/>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60E8B"/>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60E8B"/>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60E8B"/>
    <w:rPr>
      <w:b/>
      <w:bCs/>
    </w:rPr>
  </w:style>
  <w:style w:type="paragraph" w:styleId="BalloonText">
    <w:name w:val="Balloon Text"/>
    <w:basedOn w:val="Normal"/>
    <w:link w:val="BalloonTextChar"/>
    <w:uiPriority w:val="99"/>
    <w:semiHidden/>
    <w:unhideWhenUsed/>
    <w:rsid w:val="00460E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0E8B"/>
    <w:rPr>
      <w:rFonts w:ascii="Tahoma" w:hAnsi="Tahoma" w:cs="Tahoma"/>
      <w:sz w:val="16"/>
      <w:szCs w:val="16"/>
    </w:rPr>
  </w:style>
  <w:style w:type="paragraph" w:styleId="FootnoteText">
    <w:name w:val="footnote text"/>
    <w:basedOn w:val="Normal"/>
    <w:link w:val="FootnoteTextChar"/>
    <w:uiPriority w:val="99"/>
    <w:semiHidden/>
    <w:unhideWhenUsed/>
    <w:rsid w:val="00460E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0E8B"/>
    <w:rPr>
      <w:sz w:val="20"/>
      <w:szCs w:val="20"/>
    </w:rPr>
  </w:style>
  <w:style w:type="character" w:styleId="FootnoteReference">
    <w:name w:val="footnote reference"/>
    <w:basedOn w:val="DefaultParagraphFont"/>
    <w:uiPriority w:val="99"/>
    <w:semiHidden/>
    <w:unhideWhenUsed/>
    <w:rsid w:val="00460E8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60E8B"/>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60E8B"/>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60E8B"/>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60E8B"/>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60E8B"/>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60E8B"/>
    <w:rPr>
      <w:b/>
      <w:bCs/>
    </w:rPr>
  </w:style>
  <w:style w:type="paragraph" w:styleId="BalloonText">
    <w:name w:val="Balloon Text"/>
    <w:basedOn w:val="Normal"/>
    <w:link w:val="BalloonTextChar"/>
    <w:uiPriority w:val="99"/>
    <w:semiHidden/>
    <w:unhideWhenUsed/>
    <w:rsid w:val="00460E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0E8B"/>
    <w:rPr>
      <w:rFonts w:ascii="Tahoma" w:hAnsi="Tahoma" w:cs="Tahoma"/>
      <w:sz w:val="16"/>
      <w:szCs w:val="16"/>
    </w:rPr>
  </w:style>
  <w:style w:type="paragraph" w:styleId="FootnoteText">
    <w:name w:val="footnote text"/>
    <w:basedOn w:val="Normal"/>
    <w:link w:val="FootnoteTextChar"/>
    <w:uiPriority w:val="99"/>
    <w:semiHidden/>
    <w:unhideWhenUsed/>
    <w:rsid w:val="00460E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0E8B"/>
    <w:rPr>
      <w:sz w:val="20"/>
      <w:szCs w:val="20"/>
    </w:rPr>
  </w:style>
  <w:style w:type="character" w:styleId="FootnoteReference">
    <w:name w:val="footnote reference"/>
    <w:basedOn w:val="DefaultParagraphFont"/>
    <w:uiPriority w:val="99"/>
    <w:semiHidden/>
    <w:unhideWhenUsed/>
    <w:rsid w:val="00460E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623329">
      <w:bodyDiv w:val="1"/>
      <w:marLeft w:val="0"/>
      <w:marRight w:val="0"/>
      <w:marTop w:val="0"/>
      <w:marBottom w:val="0"/>
      <w:divBdr>
        <w:top w:val="none" w:sz="0" w:space="0" w:color="auto"/>
        <w:left w:val="none" w:sz="0" w:space="0" w:color="auto"/>
        <w:bottom w:val="none" w:sz="0" w:space="0" w:color="auto"/>
        <w:right w:val="none" w:sz="0" w:space="0" w:color="auto"/>
      </w:divBdr>
      <w:divsChild>
        <w:div w:id="1822818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D214EB-9C81-42EB-A414-1B4EF45F6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11</Pages>
  <Words>4217</Words>
  <Characters>24039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2020-04-15T10:36:00Z</dcterms:created>
  <dcterms:modified xsi:type="dcterms:W3CDTF">2020-04-15T11:15:00Z</dcterms:modified>
</cp:coreProperties>
</file>