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720" w:rsidRPr="008E0720" w:rsidRDefault="008E0720" w:rsidP="008E0720">
      <w:pPr>
        <w:spacing w:after="0" w:line="240" w:lineRule="auto"/>
        <w:rPr>
          <w:rFonts w:ascii="Times New Roman" w:eastAsia="Times New Roman" w:hAnsi="Times New Roman" w:cs="Times New Roman"/>
          <w:sz w:val="24"/>
          <w:szCs w:val="24"/>
          <w:lang w:eastAsia="en-PH"/>
        </w:rPr>
      </w:pPr>
      <w:r w:rsidRPr="008E0720">
        <w:rPr>
          <w:rFonts w:ascii="Verdana" w:eastAsia="Times New Roman" w:hAnsi="Verdana" w:cs="Times New Roman"/>
          <w:color w:val="000000"/>
          <w:lang w:eastAsia="en-PH"/>
        </w:rPr>
        <w:t>43 SCRA 486</w:t>
      </w:r>
      <w:r w:rsidRPr="008E0720">
        <w:rPr>
          <w:rFonts w:ascii="Verdana" w:eastAsia="Times New Roman" w:hAnsi="Verdana" w:cs="Times New Roman"/>
          <w:color w:val="000000"/>
          <w:lang w:eastAsia="en-PH"/>
        </w:rPr>
        <w:br/>
      </w:r>
      <w:r w:rsidRPr="008E0720">
        <w:rPr>
          <w:rFonts w:ascii="Verdana" w:eastAsia="Times New Roman" w:hAnsi="Verdana" w:cs="Times New Roman"/>
          <w:color w:val="000000"/>
          <w:lang w:eastAsia="en-PH"/>
        </w:rPr>
        <w:br/>
      </w:r>
    </w:p>
    <w:p w:rsidR="008E0720" w:rsidRPr="008E0720" w:rsidRDefault="008E0720" w:rsidP="008E0720">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Pr>
          <w:rFonts w:ascii="Verdana" w:eastAsia="Times New Roman" w:hAnsi="Verdana" w:cs="Times New Roman"/>
          <w:b/>
          <w:bCs/>
          <w:color w:val="000000"/>
          <w:sz w:val="36"/>
          <w:szCs w:val="36"/>
          <w:lang w:eastAsia="en-PH"/>
        </w:rPr>
        <w:t>EN BANC</w:t>
      </w:r>
    </w:p>
    <w:p w:rsidR="008E0720" w:rsidRPr="008E0720" w:rsidRDefault="008E0720" w:rsidP="008E0720">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8E0720">
        <w:rPr>
          <w:rFonts w:ascii="Verdana" w:eastAsia="Times New Roman" w:hAnsi="Verdana" w:cs="Times New Roman"/>
          <w:b/>
          <w:bCs/>
          <w:color w:val="000000"/>
          <w:sz w:val="36"/>
          <w:szCs w:val="36"/>
          <w:lang w:eastAsia="en-PH"/>
        </w:rPr>
        <w:t>[ G.R</w:t>
      </w:r>
      <w:proofErr w:type="gramEnd"/>
      <w:r w:rsidRPr="008E0720">
        <w:rPr>
          <w:rFonts w:ascii="Verdana" w:eastAsia="Times New Roman" w:hAnsi="Verdana" w:cs="Times New Roman"/>
          <w:b/>
          <w:bCs/>
          <w:color w:val="000000"/>
          <w:sz w:val="36"/>
          <w:szCs w:val="36"/>
          <w:lang w:eastAsia="en-PH"/>
        </w:rPr>
        <w:t xml:space="preserve">. No. L-29836, February 29, </w:t>
      </w:r>
      <w:proofErr w:type="gramStart"/>
      <w:r w:rsidRPr="008E0720">
        <w:rPr>
          <w:rFonts w:ascii="Verdana" w:eastAsia="Times New Roman" w:hAnsi="Verdana" w:cs="Times New Roman"/>
          <w:b/>
          <w:bCs/>
          <w:color w:val="000000"/>
          <w:sz w:val="36"/>
          <w:szCs w:val="36"/>
          <w:lang w:eastAsia="en-PH"/>
        </w:rPr>
        <w:t>1972 ]</w:t>
      </w:r>
      <w:proofErr w:type="gramEnd"/>
    </w:p>
    <w:p w:rsidR="008E0720" w:rsidRPr="008E0720" w:rsidRDefault="008E0720" w:rsidP="008E0720">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8E0720">
        <w:rPr>
          <w:rFonts w:ascii="Verdana" w:eastAsia="Times New Roman" w:hAnsi="Verdana" w:cs="Times New Roman"/>
          <w:b/>
          <w:bCs/>
          <w:color w:val="000000"/>
          <w:sz w:val="27"/>
          <w:szCs w:val="27"/>
          <w:lang w:eastAsia="en-PH"/>
        </w:rPr>
        <w:t>PEOPLE OF THE PHILIPPINES, petitioner, vs. THE HONORABLE JUDGE SIXTO A. DOMONDON, COURT OF FIRST INSTANCE OF PANGASINAN, SAN CARLOS CITY (PANGASINAN) BRANCH, FILOMENA GABRIEL, JOSE C. ARENAS, AND ESTELA MACAM-NICANOR, respondents.</w:t>
      </w:r>
      <w:proofErr w:type="gramEnd"/>
      <w:r w:rsidRPr="008E0720">
        <w:rPr>
          <w:rFonts w:ascii="Verdana" w:eastAsia="Times New Roman" w:hAnsi="Verdana" w:cs="Times New Roman"/>
          <w:b/>
          <w:bCs/>
          <w:color w:val="000000"/>
          <w:sz w:val="27"/>
          <w:szCs w:val="27"/>
          <w:lang w:eastAsia="en-PH"/>
        </w:rPr>
        <w:br/>
      </w:r>
      <w:r w:rsidRPr="008E0720">
        <w:rPr>
          <w:rFonts w:ascii="Verdana" w:eastAsia="Times New Roman" w:hAnsi="Verdana" w:cs="Times New Roman"/>
          <w:b/>
          <w:bCs/>
          <w:color w:val="000000"/>
          <w:sz w:val="27"/>
          <w:szCs w:val="27"/>
          <w:lang w:eastAsia="en-PH"/>
        </w:rPr>
        <w:br/>
        <w:t>D E C I S I O N</w:t>
      </w:r>
    </w:p>
    <w:p w:rsidR="008E0720" w:rsidRPr="008E0720" w:rsidRDefault="008E0720" w:rsidP="008E0720">
      <w:pPr>
        <w:spacing w:before="100" w:beforeAutospacing="1" w:after="100" w:afterAutospacing="1" w:line="240" w:lineRule="auto"/>
        <w:rPr>
          <w:rFonts w:ascii="Verdana" w:eastAsia="Times New Roman" w:hAnsi="Verdana" w:cs="Times New Roman"/>
          <w:color w:val="000000"/>
          <w:lang w:eastAsia="en-PH"/>
        </w:rPr>
      </w:pPr>
      <w:r w:rsidRPr="008E0720">
        <w:rPr>
          <w:rFonts w:ascii="Verdana" w:eastAsia="Times New Roman" w:hAnsi="Verdana" w:cs="Times New Roman"/>
          <w:b/>
          <w:bCs/>
          <w:color w:val="000000"/>
          <w:lang w:eastAsia="en-PH"/>
        </w:rPr>
        <w:t>VILLAMOR, J.:</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This is an original action of certiorari, prohibition and mandamus, with prayer for preliminary injunction, filed in the name of the People by State Prosecutor Alejandro C. </w:t>
      </w:r>
      <w:proofErr w:type="spellStart"/>
      <w:r w:rsidRPr="008E0720">
        <w:rPr>
          <w:rFonts w:ascii="Verdana" w:eastAsia="Times New Roman" w:hAnsi="Verdana" w:cs="Times New Roman"/>
          <w:color w:val="000000"/>
          <w:lang w:eastAsia="en-PH"/>
        </w:rPr>
        <w:t>Siazon</w:t>
      </w:r>
      <w:proofErr w:type="spellEnd"/>
      <w:r w:rsidRPr="008E0720">
        <w:rPr>
          <w:rFonts w:ascii="Verdana" w:eastAsia="Times New Roman" w:hAnsi="Verdana" w:cs="Times New Roman"/>
          <w:color w:val="000000"/>
          <w:lang w:eastAsia="en-PH"/>
        </w:rPr>
        <w:t xml:space="preserve"> of the Department of Justice.</w:t>
      </w:r>
    </w:p>
    <w:p w:rsidR="008E0720" w:rsidRPr="008E0720" w:rsidRDefault="008E0720" w:rsidP="008E0720">
      <w:pPr>
        <w:rPr>
          <w:rFonts w:ascii="Verdana" w:eastAsia="Times New Roman" w:hAnsi="Verdana" w:cs="Times New Roman"/>
          <w:color w:val="000000"/>
          <w:lang w:eastAsia="en-PH"/>
        </w:rPr>
      </w:pP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The three private respondents, </w:t>
      </w:r>
      <w:proofErr w:type="spellStart"/>
      <w:r w:rsidRPr="008E0720">
        <w:rPr>
          <w:rFonts w:ascii="Verdana" w:eastAsia="Times New Roman" w:hAnsi="Verdana" w:cs="Times New Roman"/>
          <w:color w:val="000000"/>
          <w:lang w:eastAsia="en-PH"/>
        </w:rPr>
        <w:t>Filomena</w:t>
      </w:r>
      <w:proofErr w:type="spellEnd"/>
      <w:r w:rsidRPr="008E0720">
        <w:rPr>
          <w:rFonts w:ascii="Verdana" w:eastAsia="Times New Roman" w:hAnsi="Verdana" w:cs="Times New Roman"/>
          <w:color w:val="000000"/>
          <w:lang w:eastAsia="en-PH"/>
        </w:rPr>
        <w:t xml:space="preserve"> Gabriel, Jose C. Arenas and Estela </w:t>
      </w:r>
      <w:proofErr w:type="spellStart"/>
      <w:r w:rsidRPr="008E0720">
        <w:rPr>
          <w:rFonts w:ascii="Verdana" w:eastAsia="Times New Roman" w:hAnsi="Verdana" w:cs="Times New Roman"/>
          <w:color w:val="000000"/>
          <w:lang w:eastAsia="en-PH"/>
        </w:rPr>
        <w:t>Macam-Nicanor</w:t>
      </w:r>
      <w:proofErr w:type="spellEnd"/>
      <w:r w:rsidRPr="008E0720">
        <w:rPr>
          <w:rFonts w:ascii="Verdana" w:eastAsia="Times New Roman" w:hAnsi="Verdana" w:cs="Times New Roman"/>
          <w:color w:val="000000"/>
          <w:lang w:eastAsia="en-PH"/>
        </w:rPr>
        <w:t xml:space="preserve">, are accused in Criminal Cases Nos. SCC-128, 129 and 130, respectively, of the Court of First Instance of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San Carlos City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xml:space="preserve">) Branch, of violating the Anti-Graft </w:t>
      </w:r>
      <w:proofErr w:type="gramStart"/>
      <w:r w:rsidRPr="008E0720">
        <w:rPr>
          <w:rFonts w:ascii="Verdana" w:eastAsia="Times New Roman" w:hAnsi="Verdana" w:cs="Times New Roman"/>
          <w:color w:val="000000"/>
          <w:lang w:eastAsia="en-PH"/>
        </w:rPr>
        <w:t>And</w:t>
      </w:r>
      <w:proofErr w:type="gramEnd"/>
      <w:r w:rsidRPr="008E0720">
        <w:rPr>
          <w:rFonts w:ascii="Verdana" w:eastAsia="Times New Roman" w:hAnsi="Verdana" w:cs="Times New Roman"/>
          <w:color w:val="000000"/>
          <w:lang w:eastAsia="en-PH"/>
        </w:rPr>
        <w:t xml:space="preserve"> Corrupt Practices Act (Republic Act No. 3019). The charges arose in connection with the alleged leakage of test questions in the Teachers' Selective Examination, given on June 18, 1966, in Lingayen,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xml:space="preserve">, and in </w:t>
      </w:r>
      <w:proofErr w:type="spellStart"/>
      <w:r w:rsidRPr="008E0720">
        <w:rPr>
          <w:rFonts w:ascii="Verdana" w:eastAsia="Times New Roman" w:hAnsi="Verdana" w:cs="Times New Roman"/>
          <w:color w:val="000000"/>
          <w:lang w:eastAsia="en-PH"/>
        </w:rPr>
        <w:t>Tarlac</w:t>
      </w:r>
      <w:proofErr w:type="spellEnd"/>
      <w:r w:rsidRPr="008E0720">
        <w:rPr>
          <w:rFonts w:ascii="Verdana" w:eastAsia="Times New Roman" w:hAnsi="Verdana" w:cs="Times New Roman"/>
          <w:color w:val="000000"/>
          <w:lang w:eastAsia="en-PH"/>
        </w:rPr>
        <w:t xml:space="preserve">, </w:t>
      </w:r>
      <w:proofErr w:type="spellStart"/>
      <w:r w:rsidRPr="008E0720">
        <w:rPr>
          <w:rFonts w:ascii="Verdana" w:eastAsia="Times New Roman" w:hAnsi="Verdana" w:cs="Times New Roman"/>
          <w:color w:val="000000"/>
          <w:lang w:eastAsia="en-PH"/>
        </w:rPr>
        <w:t>Tarlac</w:t>
      </w:r>
      <w:proofErr w:type="spellEnd"/>
      <w:r w:rsidRPr="008E0720">
        <w:rPr>
          <w:rFonts w:ascii="Verdana" w:eastAsia="Times New Roman" w:hAnsi="Verdana" w:cs="Times New Roman"/>
          <w:color w:val="000000"/>
          <w:lang w:eastAsia="en-PH"/>
        </w:rPr>
        <w:t xml:space="preserve">. The three cases are being tried jointly, it being alleged in the </w:t>
      </w:r>
      <w:proofErr w:type="spellStart"/>
      <w:r w:rsidRPr="008E0720">
        <w:rPr>
          <w:rFonts w:ascii="Verdana" w:eastAsia="Times New Roman" w:hAnsi="Verdana" w:cs="Times New Roman"/>
          <w:color w:val="000000"/>
          <w:lang w:eastAsia="en-PH"/>
        </w:rPr>
        <w:t>informations</w:t>
      </w:r>
      <w:proofErr w:type="spellEnd"/>
      <w:r w:rsidRPr="008E0720">
        <w:rPr>
          <w:rFonts w:ascii="Verdana" w:eastAsia="Times New Roman" w:hAnsi="Verdana" w:cs="Times New Roman"/>
          <w:color w:val="000000"/>
          <w:lang w:eastAsia="en-PH"/>
        </w:rPr>
        <w:t xml:space="preserve"> that there was conspiracy among the defendants. All three defendants are out on bail. Originally, there was </w:t>
      </w:r>
      <w:proofErr w:type="gramStart"/>
      <w:r w:rsidRPr="008E0720">
        <w:rPr>
          <w:rFonts w:ascii="Verdana" w:eastAsia="Times New Roman" w:hAnsi="Verdana" w:cs="Times New Roman"/>
          <w:color w:val="000000"/>
          <w:lang w:eastAsia="en-PH"/>
        </w:rPr>
        <w:t>a fourth</w:t>
      </w:r>
      <w:proofErr w:type="gramEnd"/>
      <w:r w:rsidRPr="008E0720">
        <w:rPr>
          <w:rFonts w:ascii="Verdana" w:eastAsia="Times New Roman" w:hAnsi="Verdana" w:cs="Times New Roman"/>
          <w:color w:val="000000"/>
          <w:lang w:eastAsia="en-PH"/>
        </w:rPr>
        <w:t xml:space="preserve"> information filed with the same court (docketed as Criminal Case No. SCC-131), against another defendant,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but upon the People's motion, on the ground that the said defendant would be utilized as a state witness, the trial court ordered her discharge as a defendant and dismissed the case against her.</w:t>
      </w:r>
      <w:r w:rsidRPr="008E0720">
        <w:rPr>
          <w:rFonts w:ascii="Verdana" w:eastAsia="Times New Roman" w:hAnsi="Verdana" w:cs="Times New Roman"/>
          <w:color w:val="000000"/>
          <w:lang w:eastAsia="en-PH"/>
        </w:rPr>
        <w:cr/>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According to petitioner, the only reason why the four defendants were not charged in a single information is that two of them (Estela </w:t>
      </w:r>
      <w:proofErr w:type="spellStart"/>
      <w:r w:rsidRPr="008E0720">
        <w:rPr>
          <w:rFonts w:ascii="Verdana" w:eastAsia="Times New Roman" w:hAnsi="Verdana" w:cs="Times New Roman"/>
          <w:color w:val="000000"/>
          <w:lang w:eastAsia="en-PH"/>
        </w:rPr>
        <w:t>Macam-Nicanor</w:t>
      </w:r>
      <w:proofErr w:type="spellEnd"/>
      <w:r w:rsidRPr="008E0720">
        <w:rPr>
          <w:rFonts w:ascii="Verdana" w:eastAsia="Times New Roman" w:hAnsi="Verdana" w:cs="Times New Roman"/>
          <w:color w:val="000000"/>
          <w:lang w:eastAsia="en-PH"/>
        </w:rPr>
        <w:t xml:space="preserve"> and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were private individuals at the time of the alleged commission of the crime, </w:t>
      </w:r>
      <w:r w:rsidRPr="008E0720">
        <w:rPr>
          <w:rFonts w:ascii="Verdana" w:eastAsia="Times New Roman" w:hAnsi="Verdana" w:cs="Times New Roman"/>
          <w:color w:val="000000"/>
          <w:lang w:eastAsia="en-PH"/>
        </w:rPr>
        <w:lastRenderedPageBreak/>
        <w:t>while the conspiracy insofar as the two other defendants (</w:t>
      </w:r>
      <w:proofErr w:type="spellStart"/>
      <w:r w:rsidRPr="008E0720">
        <w:rPr>
          <w:rFonts w:ascii="Verdana" w:eastAsia="Times New Roman" w:hAnsi="Verdana" w:cs="Times New Roman"/>
          <w:color w:val="000000"/>
          <w:lang w:eastAsia="en-PH"/>
        </w:rPr>
        <w:t>Filomena</w:t>
      </w:r>
      <w:proofErr w:type="spellEnd"/>
      <w:r w:rsidRPr="008E0720">
        <w:rPr>
          <w:rFonts w:ascii="Verdana" w:eastAsia="Times New Roman" w:hAnsi="Verdana" w:cs="Times New Roman"/>
          <w:color w:val="000000"/>
          <w:lang w:eastAsia="en-PH"/>
        </w:rPr>
        <w:t xml:space="preserve"> Gabriel and Jose C. Arenas, public school teachers in </w:t>
      </w:r>
      <w:proofErr w:type="spellStart"/>
      <w:r w:rsidRPr="008E0720">
        <w:rPr>
          <w:rFonts w:ascii="Verdana" w:eastAsia="Times New Roman" w:hAnsi="Verdana" w:cs="Times New Roman"/>
          <w:color w:val="000000"/>
          <w:lang w:eastAsia="en-PH"/>
        </w:rPr>
        <w:t>Bayambang</w:t>
      </w:r>
      <w:proofErr w:type="spellEnd"/>
      <w:r w:rsidRPr="008E0720">
        <w:rPr>
          <w:rFonts w:ascii="Verdana" w:eastAsia="Times New Roman" w:hAnsi="Verdana" w:cs="Times New Roman"/>
          <w:color w:val="000000"/>
          <w:lang w:eastAsia="en-PH"/>
        </w:rPr>
        <w:t xml:space="preserve">,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xml:space="preserve">) are concerned, is with the said two private individuals separately and/or between the two of them. Incidentally, although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was not in the government service when the examination was held on June 18, 1966, she is now a public school teacher in </w:t>
      </w:r>
      <w:proofErr w:type="spellStart"/>
      <w:r w:rsidRPr="008E0720">
        <w:rPr>
          <w:rFonts w:ascii="Verdana" w:eastAsia="Times New Roman" w:hAnsi="Verdana" w:cs="Times New Roman"/>
          <w:color w:val="000000"/>
          <w:lang w:eastAsia="en-PH"/>
        </w:rPr>
        <w:t>Manaoag</w:t>
      </w:r>
      <w:proofErr w:type="spellEnd"/>
      <w:r w:rsidRPr="008E0720">
        <w:rPr>
          <w:rFonts w:ascii="Verdana" w:eastAsia="Times New Roman" w:hAnsi="Verdana" w:cs="Times New Roman"/>
          <w:color w:val="000000"/>
          <w:lang w:eastAsia="en-PH"/>
        </w:rPr>
        <w:t xml:space="preserve">,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having been appointed as such on July 25, 1966.</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Three of the defendants, namely </w:t>
      </w:r>
      <w:proofErr w:type="spellStart"/>
      <w:r w:rsidRPr="008E0720">
        <w:rPr>
          <w:rFonts w:ascii="Verdana" w:eastAsia="Times New Roman" w:hAnsi="Verdana" w:cs="Times New Roman"/>
          <w:color w:val="000000"/>
          <w:lang w:eastAsia="en-PH"/>
        </w:rPr>
        <w:t>Filomena</w:t>
      </w:r>
      <w:proofErr w:type="spellEnd"/>
      <w:r w:rsidRPr="008E0720">
        <w:rPr>
          <w:rFonts w:ascii="Verdana" w:eastAsia="Times New Roman" w:hAnsi="Verdana" w:cs="Times New Roman"/>
          <w:color w:val="000000"/>
          <w:lang w:eastAsia="en-PH"/>
        </w:rPr>
        <w:t xml:space="preserve"> Gabriel, Jose C. Arenas and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(the discharged defendant) have each signed a sworn extrajudicial confession before agents of the National Bureau of Investigation. Only Estela </w:t>
      </w:r>
      <w:proofErr w:type="spellStart"/>
      <w:r w:rsidRPr="008E0720">
        <w:rPr>
          <w:rFonts w:ascii="Verdana" w:eastAsia="Times New Roman" w:hAnsi="Verdana" w:cs="Times New Roman"/>
          <w:color w:val="000000"/>
          <w:lang w:eastAsia="en-PH"/>
        </w:rPr>
        <w:t>Macam-Nicanor</w:t>
      </w:r>
      <w:proofErr w:type="spellEnd"/>
      <w:r w:rsidRPr="008E0720">
        <w:rPr>
          <w:rFonts w:ascii="Verdana" w:eastAsia="Times New Roman" w:hAnsi="Verdana" w:cs="Times New Roman"/>
          <w:color w:val="000000"/>
          <w:lang w:eastAsia="en-PH"/>
        </w:rPr>
        <w:t xml:space="preserve"> did not execute an extrajudicial confession. So far, the State has presented ten witnesses.</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It is alleged in the present petition that during the continuation of the joint trial of the three cases on November 18 and 19, 1968, discharged defendant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who was then on the witness stand, confirmed as hers the extrajudicial confession which was allowed by the court to be marked as Exhibit "V" for the prosecution, with </w:t>
      </w:r>
      <w:proofErr w:type="spellStart"/>
      <w:r w:rsidRPr="008E0720">
        <w:rPr>
          <w:rFonts w:ascii="Verdana" w:eastAsia="Times New Roman" w:hAnsi="Verdana" w:cs="Times New Roman"/>
          <w:color w:val="000000"/>
          <w:lang w:eastAsia="en-PH"/>
        </w:rPr>
        <w:t>submarkings</w:t>
      </w:r>
      <w:proofErr w:type="spellEnd"/>
      <w:r w:rsidRPr="008E0720">
        <w:rPr>
          <w:rFonts w:ascii="Verdana" w:eastAsia="Times New Roman" w:hAnsi="Verdana" w:cs="Times New Roman"/>
          <w:color w:val="000000"/>
          <w:lang w:eastAsia="en-PH"/>
        </w:rPr>
        <w:t xml:space="preserve"> from "V-1" to "V-6"; that when the said witness was asked by the prosecutor to identify her signature on each of the pages of Exhibit "V", the </w:t>
      </w:r>
      <w:proofErr w:type="spellStart"/>
      <w:r w:rsidRPr="008E0720">
        <w:rPr>
          <w:rFonts w:ascii="Verdana" w:eastAsia="Times New Roman" w:hAnsi="Verdana" w:cs="Times New Roman"/>
          <w:color w:val="000000"/>
          <w:lang w:eastAsia="en-PH"/>
        </w:rPr>
        <w:t>defense</w:t>
      </w:r>
      <w:proofErr w:type="spellEnd"/>
      <w:r w:rsidRPr="008E0720">
        <w:rPr>
          <w:rFonts w:ascii="Verdana" w:eastAsia="Times New Roman" w:hAnsi="Verdana" w:cs="Times New Roman"/>
          <w:color w:val="000000"/>
          <w:lang w:eastAsia="en-PH"/>
        </w:rPr>
        <w:t xml:space="preserve"> objected on the ground that the answer to the question would tend to incriminate the witness, she being now a public school teacher; that respondent Judge then asked the witness if she had been previously informed that her testimony might be used as basis for an administrative case against her, and the answer was in the affirmative; and that although the prosecutor reminded the court that witness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had been discharged by order of the court itself, after her counsel had affirmed in open court that he had no objection to her being discharged to be utilized as a state witness, respondent Judge sustained the objection.</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Petitioner also alleges that when discharged defendant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was asked by the prosecution to describe the test booklet which she had stated in her extrajudicial confession to have been purchased by her from defendant Estela </w:t>
      </w:r>
      <w:proofErr w:type="spellStart"/>
      <w:r w:rsidRPr="008E0720">
        <w:rPr>
          <w:rFonts w:ascii="Verdana" w:eastAsia="Times New Roman" w:hAnsi="Verdana" w:cs="Times New Roman"/>
          <w:color w:val="000000"/>
          <w:lang w:eastAsia="en-PH"/>
        </w:rPr>
        <w:t>Macam-Nicanor</w:t>
      </w:r>
      <w:proofErr w:type="spellEnd"/>
      <w:r w:rsidRPr="008E0720">
        <w:rPr>
          <w:rFonts w:ascii="Verdana" w:eastAsia="Times New Roman" w:hAnsi="Verdana" w:cs="Times New Roman"/>
          <w:color w:val="000000"/>
          <w:lang w:eastAsia="en-PH"/>
        </w:rPr>
        <w:t xml:space="preserve">, the </w:t>
      </w:r>
      <w:proofErr w:type="spellStart"/>
      <w:r w:rsidRPr="008E0720">
        <w:rPr>
          <w:rFonts w:ascii="Verdana" w:eastAsia="Times New Roman" w:hAnsi="Verdana" w:cs="Times New Roman"/>
          <w:color w:val="000000"/>
          <w:lang w:eastAsia="en-PH"/>
        </w:rPr>
        <w:t>defense</w:t>
      </w:r>
      <w:proofErr w:type="spellEnd"/>
      <w:r w:rsidRPr="008E0720">
        <w:rPr>
          <w:rFonts w:ascii="Verdana" w:eastAsia="Times New Roman" w:hAnsi="Verdana" w:cs="Times New Roman"/>
          <w:color w:val="000000"/>
          <w:lang w:eastAsia="en-PH"/>
        </w:rPr>
        <w:t xml:space="preserve"> objected on the ground that the best evidence was the booklet itself, which objection was sustained by respondent Judge. It appears that page 8 was presented as evidence in court as Exhibit "W", and that a prosecution witness, Minas </w:t>
      </w:r>
      <w:proofErr w:type="spellStart"/>
      <w:r w:rsidRPr="008E0720">
        <w:rPr>
          <w:rFonts w:ascii="Verdana" w:eastAsia="Times New Roman" w:hAnsi="Verdana" w:cs="Times New Roman"/>
          <w:color w:val="000000"/>
          <w:lang w:eastAsia="en-PH"/>
        </w:rPr>
        <w:t>Gabertan</w:t>
      </w:r>
      <w:proofErr w:type="spellEnd"/>
      <w:r w:rsidRPr="008E0720">
        <w:rPr>
          <w:rFonts w:ascii="Verdana" w:eastAsia="Times New Roman" w:hAnsi="Verdana" w:cs="Times New Roman"/>
          <w:color w:val="000000"/>
          <w:lang w:eastAsia="en-PH"/>
        </w:rPr>
        <w:t>, had testified on the witness stand that the same was part of the test booklet.</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In this petition it is prayed, among others, that a preliminary injunction be issued to restrain respondent Judge from proceeding with the case until after the admissibility of </w:t>
      </w:r>
      <w:proofErr w:type="spellStart"/>
      <w:r w:rsidRPr="008E0720">
        <w:rPr>
          <w:rFonts w:ascii="Verdana" w:eastAsia="Times New Roman" w:hAnsi="Verdana" w:cs="Times New Roman"/>
          <w:color w:val="000000"/>
          <w:lang w:eastAsia="en-PH"/>
        </w:rPr>
        <w:t>Siapno's</w:t>
      </w:r>
      <w:proofErr w:type="spellEnd"/>
      <w:r w:rsidRPr="008E0720">
        <w:rPr>
          <w:rFonts w:ascii="Verdana" w:eastAsia="Times New Roman" w:hAnsi="Verdana" w:cs="Times New Roman"/>
          <w:color w:val="000000"/>
          <w:lang w:eastAsia="en-PH"/>
        </w:rPr>
        <w:t xml:space="preserve"> extrajudicial confession has been ruled upon; that respondent Judge be ordered to allow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to identify her extrajudicial confession, and to admit the same as evidence against the private respondents when and if formally presented by the prosecution; and that respondent Judge be </w:t>
      </w:r>
      <w:r w:rsidRPr="008E0720">
        <w:rPr>
          <w:rFonts w:ascii="Verdana" w:eastAsia="Times New Roman" w:hAnsi="Verdana" w:cs="Times New Roman"/>
          <w:color w:val="000000"/>
          <w:lang w:eastAsia="en-PH"/>
        </w:rPr>
        <w:lastRenderedPageBreak/>
        <w:t xml:space="preserve">ordered to allow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to describe the test booklet alleged by her in her extrajudicial confession to have been bought by her from respondent Estela </w:t>
      </w:r>
      <w:proofErr w:type="spellStart"/>
      <w:r w:rsidRPr="008E0720">
        <w:rPr>
          <w:rFonts w:ascii="Verdana" w:eastAsia="Times New Roman" w:hAnsi="Verdana" w:cs="Times New Roman"/>
          <w:color w:val="000000"/>
          <w:lang w:eastAsia="en-PH"/>
        </w:rPr>
        <w:t>Macam-Nicanor</w:t>
      </w:r>
      <w:proofErr w:type="spellEnd"/>
      <w:r w:rsidRPr="008E0720">
        <w:rPr>
          <w:rFonts w:ascii="Verdana" w:eastAsia="Times New Roman" w:hAnsi="Verdana" w:cs="Times New Roman"/>
          <w:color w:val="000000"/>
          <w:lang w:eastAsia="en-PH"/>
        </w:rPr>
        <w:t>.</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Shortly after the present petition was filed, respondent Judge </w:t>
      </w:r>
      <w:proofErr w:type="spellStart"/>
      <w:r w:rsidRPr="008E0720">
        <w:rPr>
          <w:rFonts w:ascii="Verdana" w:eastAsia="Times New Roman" w:hAnsi="Verdana" w:cs="Times New Roman"/>
          <w:color w:val="000000"/>
          <w:lang w:eastAsia="en-PH"/>
        </w:rPr>
        <w:t>Domondon</w:t>
      </w:r>
      <w:proofErr w:type="spellEnd"/>
      <w:r w:rsidRPr="008E0720">
        <w:rPr>
          <w:rFonts w:ascii="Verdana" w:eastAsia="Times New Roman" w:hAnsi="Verdana" w:cs="Times New Roman"/>
          <w:color w:val="000000"/>
          <w:lang w:eastAsia="en-PH"/>
        </w:rPr>
        <w:t xml:space="preserve"> was appointed to the </w:t>
      </w:r>
      <w:proofErr w:type="spellStart"/>
      <w:r w:rsidRPr="008E0720">
        <w:rPr>
          <w:rFonts w:ascii="Verdana" w:eastAsia="Times New Roman" w:hAnsi="Verdana" w:cs="Times New Roman"/>
          <w:color w:val="000000"/>
          <w:lang w:eastAsia="en-PH"/>
        </w:rPr>
        <w:t>Mangaldan</w:t>
      </w:r>
      <w:proofErr w:type="spellEnd"/>
      <w:r w:rsidRPr="008E0720">
        <w:rPr>
          <w:rFonts w:ascii="Verdana" w:eastAsia="Times New Roman" w:hAnsi="Verdana" w:cs="Times New Roman"/>
          <w:color w:val="000000"/>
          <w:lang w:eastAsia="en-PH"/>
        </w:rPr>
        <w:t xml:space="preserve"> Branch of the Court of First Instance of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xml:space="preserve">; another judge was appointed to the San Carlos City Branch of the court, formerly presided over by Judge </w:t>
      </w:r>
      <w:proofErr w:type="spellStart"/>
      <w:r w:rsidRPr="008E0720">
        <w:rPr>
          <w:rFonts w:ascii="Verdana" w:eastAsia="Times New Roman" w:hAnsi="Verdana" w:cs="Times New Roman"/>
          <w:color w:val="000000"/>
          <w:lang w:eastAsia="en-PH"/>
        </w:rPr>
        <w:t>Domondon</w:t>
      </w:r>
      <w:proofErr w:type="spellEnd"/>
      <w:r w:rsidRPr="008E0720">
        <w:rPr>
          <w:rFonts w:ascii="Verdana" w:eastAsia="Times New Roman" w:hAnsi="Verdana" w:cs="Times New Roman"/>
          <w:color w:val="000000"/>
          <w:lang w:eastAsia="en-PH"/>
        </w:rPr>
        <w:t xml:space="preserve">. The appointments of the two judges were confirmed by the Commission on Appointments; and soon thereafter both of them began discharging their functions in their respective branches. A supplemental petition has been filed by petitioner with this Court alleging </w:t>
      </w:r>
      <w:proofErr w:type="gramStart"/>
      <w:r w:rsidRPr="008E0720">
        <w:rPr>
          <w:rFonts w:ascii="Verdana" w:eastAsia="Times New Roman" w:hAnsi="Verdana" w:cs="Times New Roman"/>
          <w:color w:val="000000"/>
          <w:lang w:eastAsia="en-PH"/>
        </w:rPr>
        <w:t xml:space="preserve">that respondent Judge </w:t>
      </w:r>
      <w:proofErr w:type="spellStart"/>
      <w:r w:rsidRPr="008E0720">
        <w:rPr>
          <w:rFonts w:ascii="Verdana" w:eastAsia="Times New Roman" w:hAnsi="Verdana" w:cs="Times New Roman"/>
          <w:color w:val="000000"/>
          <w:lang w:eastAsia="en-PH"/>
        </w:rPr>
        <w:t>Domondon</w:t>
      </w:r>
      <w:proofErr w:type="spellEnd"/>
      <w:r w:rsidRPr="008E0720">
        <w:rPr>
          <w:rFonts w:ascii="Verdana" w:eastAsia="Times New Roman" w:hAnsi="Verdana" w:cs="Times New Roman"/>
          <w:color w:val="000000"/>
          <w:lang w:eastAsia="en-PH"/>
        </w:rPr>
        <w:t xml:space="preserve"> did not include Criminal Cases Nos.</w:t>
      </w:r>
      <w:proofErr w:type="gramEnd"/>
      <w:r w:rsidRPr="008E0720">
        <w:rPr>
          <w:rFonts w:ascii="Verdana" w:eastAsia="Times New Roman" w:hAnsi="Verdana" w:cs="Times New Roman"/>
          <w:color w:val="000000"/>
          <w:lang w:eastAsia="en-PH"/>
        </w:rPr>
        <w:t xml:space="preserve"> SCC-128 to 130 among the cases which he turned over to the new presiding judge of the San Carlos City Branch, so that, unless the said cases are ordered turned over to the latter, respondent Judge </w:t>
      </w:r>
      <w:proofErr w:type="spellStart"/>
      <w:r w:rsidRPr="008E0720">
        <w:rPr>
          <w:rFonts w:ascii="Verdana" w:eastAsia="Times New Roman" w:hAnsi="Verdana" w:cs="Times New Roman"/>
          <w:color w:val="000000"/>
          <w:lang w:eastAsia="en-PH"/>
        </w:rPr>
        <w:t>Domondon</w:t>
      </w:r>
      <w:proofErr w:type="spellEnd"/>
      <w:r w:rsidRPr="008E0720">
        <w:rPr>
          <w:rFonts w:ascii="Verdana" w:eastAsia="Times New Roman" w:hAnsi="Verdana" w:cs="Times New Roman"/>
          <w:color w:val="000000"/>
          <w:lang w:eastAsia="en-PH"/>
        </w:rPr>
        <w:t xml:space="preserve"> would continue to try them. Petitioner accordingly prays this Court to declare that Criminal Cases Nos. SCC-128 to 130 fall within the exclusive authority of the judge permanently appointed to the San Carlos City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Branch, and to prohibit respondent Judge from continuing the hearing thereof.</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We vote to grant the petition.</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1. </w:t>
      </w:r>
      <w:r w:rsidRPr="002B2A75">
        <w:rPr>
          <w:rFonts w:ascii="Verdana" w:eastAsia="Times New Roman" w:hAnsi="Verdana" w:cs="Times New Roman"/>
          <w:color w:val="000000"/>
          <w:highlight w:val="yellow"/>
          <w:lang w:eastAsia="en-PH"/>
        </w:rPr>
        <w:t>The right against self-incrimination guaranteed by Section 1 (18), Article III of the Constitution, is a personal right which may be invoked by the witness. The privilege not to give self-incriminating evidence, while absolute when claimed, may be waived by any one entitled to invoke it (Beltran v. Samson, etc., et al., 53 Phil. 570, 578).</w:t>
      </w:r>
      <w:r w:rsidRPr="008E0720">
        <w:rPr>
          <w:rFonts w:ascii="Verdana" w:eastAsia="Times New Roman" w:hAnsi="Verdana" w:cs="Times New Roman"/>
          <w:color w:val="000000"/>
          <w:lang w:eastAsia="en-PH"/>
        </w:rPr>
        <w:t xml:space="preserve"> In the present cases, witness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has chosen to waive her right even after being reminded of it. The defendants' objection, therefore, on the ground of self-incrimination, to the prosecutor's question addressed to the said witness, as to whether or not the signatures on the extrajudicial confession Exhibit "V" belong to her, should have been overruled by respondent Judge.</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Witness </w:t>
      </w:r>
      <w:proofErr w:type="spellStart"/>
      <w:r w:rsidRPr="008E0720">
        <w:rPr>
          <w:rFonts w:ascii="Verdana" w:eastAsia="Times New Roman" w:hAnsi="Verdana" w:cs="Times New Roman"/>
          <w:color w:val="000000"/>
          <w:lang w:eastAsia="en-PH"/>
        </w:rPr>
        <w:t>Siapno's</w:t>
      </w:r>
      <w:proofErr w:type="spellEnd"/>
      <w:r w:rsidRPr="008E0720">
        <w:rPr>
          <w:rFonts w:ascii="Verdana" w:eastAsia="Times New Roman" w:hAnsi="Verdana" w:cs="Times New Roman"/>
          <w:color w:val="000000"/>
          <w:lang w:eastAsia="en-PH"/>
        </w:rPr>
        <w:t xml:space="preserve"> waiver is understandable. Having been discharged as a defendant to be a witness for the State, she finds herself in a peculiar situation, for the order of discharge amounts to an acquittal and is a bar to future prosecution for the same offense unless she fails or refuses to testify against the other defendants (Section 11, Rule 119 of the Rules of Court).</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2. The extrajudicial confession (Exhibit "V") of discharged defendant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is admissible. </w:t>
      </w:r>
      <w:r w:rsidRPr="002B2A75">
        <w:rPr>
          <w:rFonts w:ascii="Verdana" w:eastAsia="Times New Roman" w:hAnsi="Verdana" w:cs="Times New Roman"/>
          <w:color w:val="000000"/>
          <w:highlight w:val="yellow"/>
          <w:lang w:eastAsia="en-PH"/>
        </w:rPr>
        <w:t xml:space="preserve">Although as a general rule of extrajudicial confession is evidence only against the person making it, the same may be taken into consideration as a circumstance in assessing and passing upon the weight and credibility of the testimony of an accomplice (People v. </w:t>
      </w:r>
      <w:proofErr w:type="spellStart"/>
      <w:r w:rsidRPr="002B2A75">
        <w:rPr>
          <w:rFonts w:ascii="Verdana" w:eastAsia="Times New Roman" w:hAnsi="Verdana" w:cs="Times New Roman"/>
          <w:color w:val="000000"/>
          <w:highlight w:val="yellow"/>
          <w:lang w:eastAsia="en-PH"/>
        </w:rPr>
        <w:t>Narciso</w:t>
      </w:r>
      <w:proofErr w:type="spellEnd"/>
      <w:r w:rsidRPr="002B2A75">
        <w:rPr>
          <w:rFonts w:ascii="Verdana" w:eastAsia="Times New Roman" w:hAnsi="Verdana" w:cs="Times New Roman"/>
          <w:color w:val="000000"/>
          <w:highlight w:val="yellow"/>
          <w:lang w:eastAsia="en-PH"/>
        </w:rPr>
        <w:t xml:space="preserve">, et al., L-24484, May 28, 1968, 23 SCRA 844, 853) as well as of those of the witnesses of the opposing parties (People v. </w:t>
      </w:r>
      <w:proofErr w:type="spellStart"/>
      <w:r w:rsidRPr="002B2A75">
        <w:rPr>
          <w:rFonts w:ascii="Verdana" w:eastAsia="Times New Roman" w:hAnsi="Verdana" w:cs="Times New Roman"/>
          <w:color w:val="000000"/>
          <w:highlight w:val="yellow"/>
          <w:lang w:eastAsia="en-PH"/>
        </w:rPr>
        <w:t>Raiz</w:t>
      </w:r>
      <w:proofErr w:type="spellEnd"/>
      <w:r w:rsidRPr="002B2A75">
        <w:rPr>
          <w:rFonts w:ascii="Verdana" w:eastAsia="Times New Roman" w:hAnsi="Verdana" w:cs="Times New Roman"/>
          <w:color w:val="000000"/>
          <w:highlight w:val="yellow"/>
          <w:lang w:eastAsia="en-PH"/>
        </w:rPr>
        <w:t xml:space="preserve">, 93 Phil. 94, 99). It may likewise serve as </w:t>
      </w:r>
      <w:proofErr w:type="gramStart"/>
      <w:r w:rsidRPr="002B2A75">
        <w:rPr>
          <w:rFonts w:ascii="Verdana" w:eastAsia="Times New Roman" w:hAnsi="Verdana" w:cs="Times New Roman"/>
          <w:color w:val="000000"/>
          <w:highlight w:val="yellow"/>
          <w:lang w:eastAsia="en-PH"/>
        </w:rPr>
        <w:t>a corroborative</w:t>
      </w:r>
      <w:proofErr w:type="gramEnd"/>
      <w:r w:rsidRPr="002B2A75">
        <w:rPr>
          <w:rFonts w:ascii="Verdana" w:eastAsia="Times New Roman" w:hAnsi="Verdana" w:cs="Times New Roman"/>
          <w:color w:val="000000"/>
          <w:highlight w:val="yellow"/>
          <w:lang w:eastAsia="en-PH"/>
        </w:rPr>
        <w:t xml:space="preserve"> evidence if it is </w:t>
      </w:r>
      <w:r w:rsidRPr="002B2A75">
        <w:rPr>
          <w:rFonts w:ascii="Verdana" w:eastAsia="Times New Roman" w:hAnsi="Verdana" w:cs="Times New Roman"/>
          <w:color w:val="000000"/>
          <w:highlight w:val="yellow"/>
          <w:lang w:eastAsia="en-PH"/>
        </w:rPr>
        <w:lastRenderedPageBreak/>
        <w:t>clear from other facts and circumstances that other persons had participated in the perpetration of the crime charged and proved (People v. Sta. Maria, et al., L-19929, October 30, 1965, 15 SCRA 222, 232).</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Moreover, two of the three defendants in the court below, </w:t>
      </w:r>
      <w:proofErr w:type="spellStart"/>
      <w:r w:rsidRPr="008E0720">
        <w:rPr>
          <w:rFonts w:ascii="Verdana" w:eastAsia="Times New Roman" w:hAnsi="Verdana" w:cs="Times New Roman"/>
          <w:color w:val="000000"/>
          <w:lang w:eastAsia="en-PH"/>
        </w:rPr>
        <w:t>Filomena</w:t>
      </w:r>
      <w:proofErr w:type="spellEnd"/>
      <w:r w:rsidRPr="008E0720">
        <w:rPr>
          <w:rFonts w:ascii="Verdana" w:eastAsia="Times New Roman" w:hAnsi="Verdana" w:cs="Times New Roman"/>
          <w:color w:val="000000"/>
          <w:lang w:eastAsia="en-PH"/>
        </w:rPr>
        <w:t xml:space="preserve"> Gabriel and Jose C. Arenas, have also executed extrajudicial confessions, which in all probability will be presented in evidence in due time. Their confessions, as well as that of discharged defendant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are identical on material points, and are corroborated by the testimony of prosecution witness Minas </w:t>
      </w:r>
      <w:proofErr w:type="spellStart"/>
      <w:r w:rsidRPr="008E0720">
        <w:rPr>
          <w:rFonts w:ascii="Verdana" w:eastAsia="Times New Roman" w:hAnsi="Verdana" w:cs="Times New Roman"/>
          <w:color w:val="000000"/>
          <w:lang w:eastAsia="en-PH"/>
        </w:rPr>
        <w:t>Gabertan</w:t>
      </w:r>
      <w:proofErr w:type="spellEnd"/>
      <w:r w:rsidRPr="008E0720">
        <w:rPr>
          <w:rFonts w:ascii="Verdana" w:eastAsia="Times New Roman" w:hAnsi="Verdana" w:cs="Times New Roman"/>
          <w:color w:val="000000"/>
          <w:lang w:eastAsia="en-PH"/>
        </w:rPr>
        <w:t>. Unless, therefore, it is shown that there was collusion in making the confessions, they are admissible as circumstantial evidence against the persons implicated to show the probability of their criminal participation.</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w:t>
      </w:r>
      <w:r w:rsidRPr="006C6B53">
        <w:rPr>
          <w:rFonts w:asciiTheme="majorHAnsi" w:eastAsia="Times New Roman" w:hAnsiTheme="majorHAnsi" w:cs="Times New Roman"/>
          <w:color w:val="000000"/>
          <w:highlight w:val="yellow"/>
          <w:lang w:eastAsia="en-PH"/>
        </w:rPr>
        <w:t>Extra-judicial confessions independently made without collusion, which are identical with each other in their essential details and are corroborated by other evidence on record, are admissible as circumstantial evidence against the person implicated to show the probability of the latter's actual participation in the commission of the crime."</w:t>
      </w:r>
      <w:r w:rsidRPr="008E0720">
        <w:rPr>
          <w:rFonts w:ascii="Verdana" w:eastAsia="Times New Roman" w:hAnsi="Verdana" w:cs="Times New Roman"/>
          <w:color w:val="000000"/>
          <w:lang w:eastAsia="en-PH"/>
        </w:rPr>
        <w:t xml:space="preserve"> </w:t>
      </w:r>
      <w:proofErr w:type="gramStart"/>
      <w:r w:rsidRPr="008E0720">
        <w:rPr>
          <w:rFonts w:ascii="Verdana" w:eastAsia="Times New Roman" w:hAnsi="Verdana" w:cs="Times New Roman"/>
          <w:color w:val="000000"/>
          <w:lang w:eastAsia="en-PH"/>
        </w:rPr>
        <w:t xml:space="preserve">(People v. Provo, et al., L-28347, January 20, 1971, 37 SCRA 19, 33, citing People v. </w:t>
      </w:r>
      <w:proofErr w:type="spellStart"/>
      <w:r w:rsidRPr="008E0720">
        <w:rPr>
          <w:rFonts w:ascii="Verdana" w:eastAsia="Times New Roman" w:hAnsi="Verdana" w:cs="Times New Roman"/>
          <w:color w:val="000000"/>
          <w:lang w:eastAsia="en-PH"/>
        </w:rPr>
        <w:t>Condemena</w:t>
      </w:r>
      <w:proofErr w:type="spellEnd"/>
      <w:r w:rsidRPr="008E0720">
        <w:rPr>
          <w:rFonts w:ascii="Verdana" w:eastAsia="Times New Roman" w:hAnsi="Verdana" w:cs="Times New Roman"/>
          <w:color w:val="000000"/>
          <w:lang w:eastAsia="en-PH"/>
        </w:rPr>
        <w:t>, L-22426, May 29, 1968.)</w:t>
      </w:r>
      <w:proofErr w:type="gramEnd"/>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3. Discharged defendant Jessie 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should be allowed to describe the test booklet which she mentioned in her extrajudicial confession as having been bought by her from respondent Estela </w:t>
      </w:r>
      <w:proofErr w:type="spellStart"/>
      <w:r w:rsidRPr="008E0720">
        <w:rPr>
          <w:rFonts w:ascii="Verdana" w:eastAsia="Times New Roman" w:hAnsi="Verdana" w:cs="Times New Roman"/>
          <w:color w:val="000000"/>
          <w:lang w:eastAsia="en-PH"/>
        </w:rPr>
        <w:t>Macam-Nicanor</w:t>
      </w:r>
      <w:proofErr w:type="spellEnd"/>
      <w:r w:rsidRPr="008E0720">
        <w:rPr>
          <w:rFonts w:ascii="Verdana" w:eastAsia="Times New Roman" w:hAnsi="Verdana" w:cs="Times New Roman"/>
          <w:color w:val="000000"/>
          <w:lang w:eastAsia="en-PH"/>
        </w:rPr>
        <w:t>.</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Section 3, Rule 133 of the Rules of Court, provides:</w:t>
      </w:r>
    </w:p>
    <w:p w:rsidR="008E0720" w:rsidRPr="006C6B53" w:rsidRDefault="008E0720" w:rsidP="006C6B53">
      <w:pPr>
        <w:ind w:left="720"/>
        <w:rPr>
          <w:rFonts w:asciiTheme="majorHAnsi" w:eastAsia="Times New Roman" w:hAnsiTheme="majorHAnsi" w:cs="Times New Roman"/>
          <w:color w:val="000000"/>
          <w:lang w:eastAsia="en-PH"/>
        </w:rPr>
      </w:pPr>
      <w:proofErr w:type="gramStart"/>
      <w:r w:rsidRPr="006C6B53">
        <w:rPr>
          <w:rFonts w:asciiTheme="majorHAnsi" w:eastAsia="Times New Roman" w:hAnsiTheme="majorHAnsi" w:cs="Times New Roman"/>
          <w:color w:val="000000"/>
          <w:lang w:eastAsia="en-PH"/>
        </w:rPr>
        <w:t>"SEC. 3.</w:t>
      </w:r>
      <w:proofErr w:type="gramEnd"/>
      <w:r w:rsidRPr="006C6B53">
        <w:rPr>
          <w:rFonts w:asciiTheme="majorHAnsi" w:eastAsia="Times New Roman" w:hAnsiTheme="majorHAnsi" w:cs="Times New Roman"/>
          <w:color w:val="000000"/>
          <w:lang w:eastAsia="en-PH"/>
        </w:rPr>
        <w:t xml:space="preserve"> </w:t>
      </w:r>
      <w:proofErr w:type="gramStart"/>
      <w:r w:rsidRPr="006C6B53">
        <w:rPr>
          <w:rFonts w:asciiTheme="majorHAnsi" w:eastAsia="Times New Roman" w:hAnsiTheme="majorHAnsi" w:cs="Times New Roman"/>
          <w:color w:val="000000"/>
          <w:lang w:eastAsia="en-PH"/>
        </w:rPr>
        <w:t>Extrajudicial confession, not sufficient ground for conviction.</w:t>
      </w:r>
      <w:proofErr w:type="gramEnd"/>
      <w:r w:rsidRPr="006C6B53">
        <w:rPr>
          <w:rFonts w:asciiTheme="majorHAnsi" w:eastAsia="Times New Roman" w:hAnsiTheme="majorHAnsi" w:cs="Times New Roman"/>
          <w:color w:val="000000"/>
          <w:lang w:eastAsia="en-PH"/>
        </w:rPr>
        <w:t xml:space="preserve"> An extrajudicial confession made by an accused, shall not be sufficient ground for conviction, unless corroborated by evidence of corpus </w:t>
      </w:r>
      <w:proofErr w:type="spellStart"/>
      <w:r w:rsidRPr="006C6B53">
        <w:rPr>
          <w:rFonts w:asciiTheme="majorHAnsi" w:eastAsia="Times New Roman" w:hAnsiTheme="majorHAnsi" w:cs="Times New Roman"/>
          <w:color w:val="000000"/>
          <w:lang w:eastAsia="en-PH"/>
        </w:rPr>
        <w:t>delicti</w:t>
      </w:r>
      <w:proofErr w:type="spellEnd"/>
      <w:r w:rsidRPr="006C6B53">
        <w:rPr>
          <w:rFonts w:asciiTheme="majorHAnsi" w:eastAsia="Times New Roman" w:hAnsiTheme="majorHAnsi" w:cs="Times New Roman"/>
          <w:color w:val="000000"/>
          <w:lang w:eastAsia="en-PH"/>
        </w:rPr>
        <w:t>."</w:t>
      </w:r>
    </w:p>
    <w:p w:rsidR="008E0720" w:rsidRPr="006C6B53" w:rsidRDefault="008E0720" w:rsidP="008E0720">
      <w:pPr>
        <w:rPr>
          <w:rFonts w:asciiTheme="majorHAnsi" w:eastAsia="Times New Roman" w:hAnsiTheme="majorHAnsi" w:cs="Times New Roman"/>
          <w:color w:val="000000"/>
          <w:lang w:eastAsia="en-PH"/>
        </w:rPr>
      </w:pPr>
      <w:r w:rsidRPr="008E0720">
        <w:rPr>
          <w:rFonts w:ascii="Verdana" w:eastAsia="Times New Roman" w:hAnsi="Verdana" w:cs="Times New Roman"/>
          <w:color w:val="000000"/>
          <w:lang w:eastAsia="en-PH"/>
        </w:rPr>
        <w:t>"</w:t>
      </w:r>
      <w:r w:rsidRPr="006C6B53">
        <w:rPr>
          <w:rFonts w:asciiTheme="majorHAnsi" w:eastAsia="Times New Roman" w:hAnsiTheme="majorHAnsi" w:cs="Times New Roman"/>
          <w:color w:val="000000"/>
          <w:lang w:eastAsia="en-PH"/>
        </w:rPr>
        <w:t xml:space="preserve">Proof of corpus </w:t>
      </w:r>
      <w:proofErr w:type="spellStart"/>
      <w:r w:rsidRPr="006C6B53">
        <w:rPr>
          <w:rFonts w:asciiTheme="majorHAnsi" w:eastAsia="Times New Roman" w:hAnsiTheme="majorHAnsi" w:cs="Times New Roman"/>
          <w:color w:val="000000"/>
          <w:lang w:eastAsia="en-PH"/>
        </w:rPr>
        <w:t>delicti</w:t>
      </w:r>
      <w:proofErr w:type="spellEnd"/>
      <w:r w:rsidRPr="006C6B53">
        <w:rPr>
          <w:rFonts w:asciiTheme="majorHAnsi" w:eastAsia="Times New Roman" w:hAnsiTheme="majorHAnsi" w:cs="Times New Roman"/>
          <w:color w:val="000000"/>
          <w:lang w:eastAsia="en-PH"/>
        </w:rPr>
        <w:t xml:space="preserve"> means introduction of sufficient evidence to establish fact that a crime was committed, and proof of defendant's connection therewith is not part of corpus </w:t>
      </w:r>
      <w:proofErr w:type="spellStart"/>
      <w:r w:rsidRPr="006C6B53">
        <w:rPr>
          <w:rFonts w:asciiTheme="majorHAnsi" w:eastAsia="Times New Roman" w:hAnsiTheme="majorHAnsi" w:cs="Times New Roman"/>
          <w:color w:val="000000"/>
          <w:lang w:eastAsia="en-PH"/>
        </w:rPr>
        <w:t>delicti</w:t>
      </w:r>
      <w:proofErr w:type="spellEnd"/>
      <w:r w:rsidRPr="006C6B53">
        <w:rPr>
          <w:rFonts w:asciiTheme="majorHAnsi" w:eastAsia="Times New Roman" w:hAnsiTheme="majorHAnsi" w:cs="Times New Roman"/>
          <w:color w:val="000000"/>
          <w:lang w:eastAsia="en-PH"/>
        </w:rPr>
        <w:t>." (9 Words and Phrases, p. 759, Perm. Ed.)</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Any testimony which discharged defendant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may make describing the test booklet mentioned by her in her extrajudicial confession is admissible to provide proof of corpus </w:t>
      </w:r>
      <w:proofErr w:type="spellStart"/>
      <w:r w:rsidRPr="008E0720">
        <w:rPr>
          <w:rFonts w:ascii="Verdana" w:eastAsia="Times New Roman" w:hAnsi="Verdana" w:cs="Times New Roman"/>
          <w:color w:val="000000"/>
          <w:lang w:eastAsia="en-PH"/>
        </w:rPr>
        <w:t>delicti</w:t>
      </w:r>
      <w:proofErr w:type="spellEnd"/>
      <w:r w:rsidRPr="008E0720">
        <w:rPr>
          <w:rFonts w:ascii="Verdana" w:eastAsia="Times New Roman" w:hAnsi="Verdana" w:cs="Times New Roman"/>
          <w:color w:val="000000"/>
          <w:lang w:eastAsia="en-PH"/>
        </w:rPr>
        <w:t>; such testimony is apart from her confession, and she may be cross-examined thereon by private respondents.</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Private respondents also object to a description of the test booklet by witness </w:t>
      </w:r>
      <w:proofErr w:type="spellStart"/>
      <w:r w:rsidRPr="008E0720">
        <w:rPr>
          <w:rFonts w:ascii="Verdana" w:eastAsia="Times New Roman" w:hAnsi="Verdana" w:cs="Times New Roman"/>
          <w:color w:val="000000"/>
          <w:lang w:eastAsia="en-PH"/>
        </w:rPr>
        <w:t>Siapno</w:t>
      </w:r>
      <w:proofErr w:type="spellEnd"/>
      <w:r w:rsidRPr="008E0720">
        <w:rPr>
          <w:rFonts w:ascii="Verdana" w:eastAsia="Times New Roman" w:hAnsi="Verdana" w:cs="Times New Roman"/>
          <w:color w:val="000000"/>
          <w:lang w:eastAsia="en-PH"/>
        </w:rPr>
        <w:t xml:space="preserve"> on the ground that the same will be </w:t>
      </w:r>
      <w:proofErr w:type="spellStart"/>
      <w:r w:rsidRPr="008E0720">
        <w:rPr>
          <w:rFonts w:ascii="Verdana" w:eastAsia="Times New Roman" w:hAnsi="Verdana" w:cs="Times New Roman"/>
          <w:color w:val="000000"/>
          <w:lang w:eastAsia="en-PH"/>
        </w:rPr>
        <w:t>violative</w:t>
      </w:r>
      <w:proofErr w:type="spellEnd"/>
      <w:r w:rsidRPr="008E0720">
        <w:rPr>
          <w:rFonts w:ascii="Verdana" w:eastAsia="Times New Roman" w:hAnsi="Verdana" w:cs="Times New Roman"/>
          <w:color w:val="000000"/>
          <w:lang w:eastAsia="en-PH"/>
        </w:rPr>
        <w:t xml:space="preserve"> of the best evidence rule. But another witness, Minas </w:t>
      </w:r>
      <w:proofErr w:type="spellStart"/>
      <w:r w:rsidRPr="008E0720">
        <w:rPr>
          <w:rFonts w:ascii="Verdana" w:eastAsia="Times New Roman" w:hAnsi="Verdana" w:cs="Times New Roman"/>
          <w:color w:val="000000"/>
          <w:lang w:eastAsia="en-PH"/>
        </w:rPr>
        <w:t>Gabertan</w:t>
      </w:r>
      <w:proofErr w:type="spellEnd"/>
      <w:r w:rsidRPr="008E0720">
        <w:rPr>
          <w:rFonts w:ascii="Verdana" w:eastAsia="Times New Roman" w:hAnsi="Verdana" w:cs="Times New Roman"/>
          <w:color w:val="000000"/>
          <w:lang w:eastAsia="en-PH"/>
        </w:rPr>
        <w:t>, has already testified that the test booklet (consisting of 26 pages) with the exception of page 8 (presented in evidence as Exhibit "W"), was burned by her. In the circumstances the contents of the test booklet may be proved by the recollection of witnesses (Sections 2 and 4, Rule 130).</w:t>
      </w:r>
    </w:p>
    <w:p w:rsidR="008E0720" w:rsidRPr="008E0720" w:rsidRDefault="008E0720" w:rsidP="008E0720">
      <w:pPr>
        <w:rPr>
          <w:rFonts w:ascii="Verdana" w:eastAsia="Times New Roman" w:hAnsi="Verdana" w:cs="Times New Roman"/>
          <w:color w:val="000000"/>
          <w:lang w:eastAsia="en-PH"/>
        </w:rPr>
      </w:pP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4. The failure of respondent Judge to turn over the records of Criminal Cases Nos. SCC-128 to 130 to the present presiding judge of the San Carlos City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Branch, to which they properly belong, should be frowned upon as not conducive to the orderly administration of justice.</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In </w:t>
      </w:r>
      <w:proofErr w:type="spellStart"/>
      <w:r w:rsidRPr="008E0720">
        <w:rPr>
          <w:rFonts w:ascii="Verdana" w:eastAsia="Times New Roman" w:hAnsi="Verdana" w:cs="Times New Roman"/>
          <w:color w:val="000000"/>
          <w:lang w:eastAsia="en-PH"/>
        </w:rPr>
        <w:t>Luque</w:t>
      </w:r>
      <w:proofErr w:type="spellEnd"/>
      <w:r w:rsidRPr="008E0720">
        <w:rPr>
          <w:rFonts w:ascii="Verdana" w:eastAsia="Times New Roman" w:hAnsi="Verdana" w:cs="Times New Roman"/>
          <w:color w:val="000000"/>
          <w:lang w:eastAsia="en-PH"/>
        </w:rPr>
        <w:t xml:space="preserve"> v. </w:t>
      </w:r>
      <w:proofErr w:type="spellStart"/>
      <w:r w:rsidRPr="008E0720">
        <w:rPr>
          <w:rFonts w:ascii="Verdana" w:eastAsia="Times New Roman" w:hAnsi="Verdana" w:cs="Times New Roman"/>
          <w:color w:val="000000"/>
          <w:lang w:eastAsia="en-PH"/>
        </w:rPr>
        <w:t>Kayanan</w:t>
      </w:r>
      <w:proofErr w:type="spellEnd"/>
      <w:r w:rsidRPr="008E0720">
        <w:rPr>
          <w:rFonts w:ascii="Verdana" w:eastAsia="Times New Roman" w:hAnsi="Verdana" w:cs="Times New Roman"/>
          <w:color w:val="000000"/>
          <w:lang w:eastAsia="en-PH"/>
        </w:rPr>
        <w:t>, etc., L-26826, August 29, 1969 (29 SCRA 165, 183), we said:</w:t>
      </w:r>
    </w:p>
    <w:p w:rsidR="008E0720" w:rsidRPr="006C6B53" w:rsidRDefault="008E0720" w:rsidP="006C6B53">
      <w:pPr>
        <w:ind w:left="720"/>
        <w:rPr>
          <w:rFonts w:asciiTheme="majorHAnsi" w:eastAsia="Times New Roman" w:hAnsiTheme="majorHAnsi" w:cs="Times New Roman"/>
          <w:color w:val="000000"/>
          <w:lang w:eastAsia="en-PH"/>
        </w:rPr>
      </w:pPr>
      <w:r w:rsidRPr="006C6B53">
        <w:rPr>
          <w:rFonts w:asciiTheme="majorHAnsi" w:eastAsia="Times New Roman" w:hAnsiTheme="majorHAnsi" w:cs="Times New Roman"/>
          <w:color w:val="000000"/>
          <w:lang w:eastAsia="en-PH"/>
        </w:rPr>
        <w:t>". . . It surely is not in keeping with the sound administration of justice for a judge of a branch of a court to take for himself a case belonging to another branch of the same court without justifiable reason therefor. Such a procedure breeds confusion. It could even be suspect. It opens up a charge such as here presented that respondent has demonstrated `unusual interest' in this case and refused to return it to Branch I in spite of petitioner's move for the purpose."</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We there accordingly directed the return of the case from Branch IV to Branch I of the Court of First Instance of Quezon. The principle was reiterated in Ella, et al. v. </w:t>
      </w:r>
      <w:proofErr w:type="spellStart"/>
      <w:r w:rsidRPr="008E0720">
        <w:rPr>
          <w:rFonts w:ascii="Verdana" w:eastAsia="Times New Roman" w:hAnsi="Verdana" w:cs="Times New Roman"/>
          <w:color w:val="000000"/>
          <w:lang w:eastAsia="en-PH"/>
        </w:rPr>
        <w:t>Salanga</w:t>
      </w:r>
      <w:proofErr w:type="spellEnd"/>
      <w:r w:rsidRPr="008E0720">
        <w:rPr>
          <w:rFonts w:ascii="Verdana" w:eastAsia="Times New Roman" w:hAnsi="Verdana" w:cs="Times New Roman"/>
          <w:color w:val="000000"/>
          <w:lang w:eastAsia="en-PH"/>
        </w:rPr>
        <w:t>, etc., et al., L-23826, September 28, 1970 (35 SCRA 86, 93).</w:t>
      </w: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True it is that the present cases have already been heard in part by respondent Judge; but then the normal procedure would be to first obtain the permission of the Supreme Court before he may continue hearing the cases.</w:t>
      </w:r>
    </w:p>
    <w:p w:rsidR="008E0720" w:rsidRPr="008E0720" w:rsidRDefault="008E0720" w:rsidP="008E0720">
      <w:pPr>
        <w:rPr>
          <w:rFonts w:ascii="Verdana" w:eastAsia="Times New Roman" w:hAnsi="Verdana" w:cs="Times New Roman"/>
          <w:color w:val="000000"/>
          <w:lang w:eastAsia="en-PH"/>
        </w:rPr>
      </w:pPr>
      <w:bookmarkStart w:id="0" w:name="_GoBack"/>
      <w:bookmarkEnd w:id="0"/>
      <w:r w:rsidRPr="008E0720">
        <w:rPr>
          <w:rFonts w:ascii="Verdana" w:eastAsia="Times New Roman" w:hAnsi="Verdana" w:cs="Times New Roman"/>
          <w:color w:val="000000"/>
          <w:lang w:eastAsia="en-PH"/>
        </w:rPr>
        <w:t xml:space="preserve">WHEREFORE, the petition is granted. Respondent Judge is hereby directed to turn over the records of Criminal Cases Nos. </w:t>
      </w:r>
      <w:proofErr w:type="gramStart"/>
      <w:r w:rsidRPr="008E0720">
        <w:rPr>
          <w:rFonts w:ascii="Verdana" w:eastAsia="Times New Roman" w:hAnsi="Verdana" w:cs="Times New Roman"/>
          <w:color w:val="000000"/>
          <w:lang w:eastAsia="en-PH"/>
        </w:rPr>
        <w:t xml:space="preserve">SCC-128, 129 and 130 to the presiding judge of the San Carlos City Branch of the Court of First Instance of </w:t>
      </w:r>
      <w:proofErr w:type="spellStart"/>
      <w:r w:rsidRPr="008E0720">
        <w:rPr>
          <w:rFonts w:ascii="Verdana" w:eastAsia="Times New Roman" w:hAnsi="Verdana" w:cs="Times New Roman"/>
          <w:color w:val="000000"/>
          <w:lang w:eastAsia="en-PH"/>
        </w:rPr>
        <w:t>Pangasinan</w:t>
      </w:r>
      <w:proofErr w:type="spellEnd"/>
      <w:r w:rsidRPr="008E0720">
        <w:rPr>
          <w:rFonts w:ascii="Verdana" w:eastAsia="Times New Roman" w:hAnsi="Verdana" w:cs="Times New Roman"/>
          <w:color w:val="000000"/>
          <w:lang w:eastAsia="en-PH"/>
        </w:rPr>
        <w:t>, who is likewise hereby directed to proceed in the premises accordingly.</w:t>
      </w:r>
      <w:proofErr w:type="gramEnd"/>
    </w:p>
    <w:p w:rsidR="008E0720" w:rsidRPr="008E0720" w:rsidRDefault="008E0720" w:rsidP="008E0720">
      <w:pPr>
        <w:rPr>
          <w:rFonts w:ascii="Verdana" w:eastAsia="Times New Roman" w:hAnsi="Verdana" w:cs="Times New Roman"/>
          <w:color w:val="000000"/>
          <w:lang w:eastAsia="en-PH"/>
        </w:rPr>
      </w:pPr>
    </w:p>
    <w:p w:rsidR="008E0720" w:rsidRPr="008E0720" w:rsidRDefault="008E0720" w:rsidP="008E0720">
      <w:pPr>
        <w:rPr>
          <w:rFonts w:ascii="Verdana" w:eastAsia="Times New Roman" w:hAnsi="Verdana" w:cs="Times New Roman"/>
          <w:color w:val="000000"/>
          <w:lang w:eastAsia="en-PH"/>
        </w:rPr>
      </w:pPr>
      <w:r w:rsidRPr="008E0720">
        <w:rPr>
          <w:rFonts w:ascii="Verdana" w:eastAsia="Times New Roman" w:hAnsi="Verdana" w:cs="Times New Roman"/>
          <w:color w:val="000000"/>
          <w:lang w:eastAsia="en-PH"/>
        </w:rPr>
        <w:t xml:space="preserve">Concepcion, C.J., Reyes, J.B.L., </w:t>
      </w:r>
      <w:proofErr w:type="spellStart"/>
      <w:r w:rsidRPr="008E0720">
        <w:rPr>
          <w:rFonts w:ascii="Verdana" w:eastAsia="Times New Roman" w:hAnsi="Verdana" w:cs="Times New Roman"/>
          <w:color w:val="000000"/>
          <w:lang w:eastAsia="en-PH"/>
        </w:rPr>
        <w:t>Makalintal</w:t>
      </w:r>
      <w:proofErr w:type="spellEnd"/>
      <w:r w:rsidRPr="008E0720">
        <w:rPr>
          <w:rFonts w:ascii="Verdana" w:eastAsia="Times New Roman" w:hAnsi="Verdana" w:cs="Times New Roman"/>
          <w:color w:val="000000"/>
          <w:lang w:eastAsia="en-PH"/>
        </w:rPr>
        <w:t xml:space="preserve">, </w:t>
      </w:r>
      <w:proofErr w:type="spellStart"/>
      <w:r w:rsidRPr="008E0720">
        <w:rPr>
          <w:rFonts w:ascii="Verdana" w:eastAsia="Times New Roman" w:hAnsi="Verdana" w:cs="Times New Roman"/>
          <w:color w:val="000000"/>
          <w:lang w:eastAsia="en-PH"/>
        </w:rPr>
        <w:t>Zaldivar</w:t>
      </w:r>
      <w:proofErr w:type="spellEnd"/>
      <w:r w:rsidRPr="008E0720">
        <w:rPr>
          <w:rFonts w:ascii="Verdana" w:eastAsia="Times New Roman" w:hAnsi="Verdana" w:cs="Times New Roman"/>
          <w:color w:val="000000"/>
          <w:lang w:eastAsia="en-PH"/>
        </w:rPr>
        <w:t xml:space="preserve">, Castro, </w:t>
      </w:r>
      <w:proofErr w:type="spellStart"/>
      <w:r w:rsidRPr="008E0720">
        <w:rPr>
          <w:rFonts w:ascii="Verdana" w:eastAsia="Times New Roman" w:hAnsi="Verdana" w:cs="Times New Roman"/>
          <w:color w:val="000000"/>
          <w:lang w:eastAsia="en-PH"/>
        </w:rPr>
        <w:t>Teehankee</w:t>
      </w:r>
      <w:proofErr w:type="spellEnd"/>
      <w:r w:rsidRPr="008E0720">
        <w:rPr>
          <w:rFonts w:ascii="Verdana" w:eastAsia="Times New Roman" w:hAnsi="Verdana" w:cs="Times New Roman"/>
          <w:color w:val="000000"/>
          <w:lang w:eastAsia="en-PH"/>
        </w:rPr>
        <w:t xml:space="preserve"> and </w:t>
      </w:r>
      <w:proofErr w:type="spellStart"/>
      <w:r w:rsidRPr="008E0720">
        <w:rPr>
          <w:rFonts w:ascii="Verdana" w:eastAsia="Times New Roman" w:hAnsi="Verdana" w:cs="Times New Roman"/>
          <w:color w:val="000000"/>
          <w:lang w:eastAsia="en-PH"/>
        </w:rPr>
        <w:t>Makasiar</w:t>
      </w:r>
      <w:proofErr w:type="spellEnd"/>
      <w:r w:rsidRPr="008E0720">
        <w:rPr>
          <w:rFonts w:ascii="Verdana" w:eastAsia="Times New Roman" w:hAnsi="Verdana" w:cs="Times New Roman"/>
          <w:color w:val="000000"/>
          <w:lang w:eastAsia="en-PH"/>
        </w:rPr>
        <w:t xml:space="preserve">, </w:t>
      </w:r>
      <w:proofErr w:type="gramStart"/>
      <w:r w:rsidRPr="008E0720">
        <w:rPr>
          <w:rFonts w:ascii="Verdana" w:eastAsia="Times New Roman" w:hAnsi="Verdana" w:cs="Times New Roman"/>
          <w:color w:val="000000"/>
          <w:lang w:eastAsia="en-PH"/>
        </w:rPr>
        <w:t>JJ.,</w:t>
      </w:r>
      <w:proofErr w:type="gramEnd"/>
      <w:r w:rsidRPr="008E0720">
        <w:rPr>
          <w:rFonts w:ascii="Verdana" w:eastAsia="Times New Roman" w:hAnsi="Verdana" w:cs="Times New Roman"/>
          <w:color w:val="000000"/>
          <w:lang w:eastAsia="en-PH"/>
        </w:rPr>
        <w:t xml:space="preserve"> concur.</w:t>
      </w:r>
    </w:p>
    <w:p w:rsidR="008E0720" w:rsidRPr="008E0720" w:rsidRDefault="008E0720" w:rsidP="008E0720">
      <w:pPr>
        <w:rPr>
          <w:rFonts w:ascii="Verdana" w:eastAsia="Times New Roman" w:hAnsi="Verdana" w:cs="Times New Roman"/>
          <w:color w:val="000000"/>
          <w:lang w:eastAsia="en-PH"/>
        </w:rPr>
      </w:pPr>
    </w:p>
    <w:p w:rsidR="00E13432" w:rsidRDefault="008E0720" w:rsidP="008E0720">
      <w:r w:rsidRPr="008E0720">
        <w:rPr>
          <w:rFonts w:ascii="Verdana" w:eastAsia="Times New Roman" w:hAnsi="Verdana" w:cs="Times New Roman"/>
          <w:color w:val="000000"/>
          <w:lang w:eastAsia="en-PH"/>
        </w:rPr>
        <w:t xml:space="preserve">Fernando and </w:t>
      </w:r>
      <w:proofErr w:type="spellStart"/>
      <w:r w:rsidRPr="008E0720">
        <w:rPr>
          <w:rFonts w:ascii="Verdana" w:eastAsia="Times New Roman" w:hAnsi="Verdana" w:cs="Times New Roman"/>
          <w:color w:val="000000"/>
          <w:lang w:eastAsia="en-PH"/>
        </w:rPr>
        <w:t>Barredo</w:t>
      </w:r>
      <w:proofErr w:type="spellEnd"/>
      <w:r w:rsidRPr="008E0720">
        <w:rPr>
          <w:rFonts w:ascii="Verdana" w:eastAsia="Times New Roman" w:hAnsi="Verdana" w:cs="Times New Roman"/>
          <w:color w:val="000000"/>
          <w:lang w:eastAsia="en-PH"/>
        </w:rPr>
        <w:t xml:space="preserve">, </w:t>
      </w:r>
      <w:proofErr w:type="gramStart"/>
      <w:r w:rsidRPr="008E0720">
        <w:rPr>
          <w:rFonts w:ascii="Verdana" w:eastAsia="Times New Roman" w:hAnsi="Verdana" w:cs="Times New Roman"/>
          <w:color w:val="000000"/>
          <w:lang w:eastAsia="en-PH"/>
        </w:rPr>
        <w:t>JJ.,</w:t>
      </w:r>
      <w:proofErr w:type="gramEnd"/>
      <w:r w:rsidRPr="008E0720">
        <w:rPr>
          <w:rFonts w:ascii="Verdana" w:eastAsia="Times New Roman" w:hAnsi="Verdana" w:cs="Times New Roman"/>
          <w:color w:val="000000"/>
          <w:lang w:eastAsia="en-PH"/>
        </w:rPr>
        <w:t xml:space="preserve"> concur in the result.</w:t>
      </w:r>
    </w:p>
    <w:sectPr w:rsidR="00E134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720"/>
    <w:rsid w:val="002B2A75"/>
    <w:rsid w:val="005C2C64"/>
    <w:rsid w:val="006C6B53"/>
    <w:rsid w:val="00841205"/>
    <w:rsid w:val="008E0720"/>
    <w:rsid w:val="00C14D94"/>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E0720"/>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E0720"/>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paragraph" w:styleId="Heading4">
    <w:name w:val="heading 4"/>
    <w:basedOn w:val="Normal"/>
    <w:next w:val="Normal"/>
    <w:link w:val="Heading4Char"/>
    <w:uiPriority w:val="9"/>
    <w:semiHidden/>
    <w:unhideWhenUsed/>
    <w:qFormat/>
    <w:rsid w:val="008E072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E0720"/>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E0720"/>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E072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E0720"/>
    <w:rPr>
      <w:b/>
      <w:bCs/>
    </w:rPr>
  </w:style>
  <w:style w:type="character" w:customStyle="1" w:styleId="Heading4Char">
    <w:name w:val="Heading 4 Char"/>
    <w:basedOn w:val="DefaultParagraphFont"/>
    <w:link w:val="Heading4"/>
    <w:uiPriority w:val="9"/>
    <w:semiHidden/>
    <w:rsid w:val="008E0720"/>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E0720"/>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E0720"/>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paragraph" w:styleId="Heading4">
    <w:name w:val="heading 4"/>
    <w:basedOn w:val="Normal"/>
    <w:next w:val="Normal"/>
    <w:link w:val="Heading4Char"/>
    <w:uiPriority w:val="9"/>
    <w:semiHidden/>
    <w:unhideWhenUsed/>
    <w:qFormat/>
    <w:rsid w:val="008E072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E0720"/>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E0720"/>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E072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E0720"/>
    <w:rPr>
      <w:b/>
      <w:bCs/>
    </w:rPr>
  </w:style>
  <w:style w:type="character" w:customStyle="1" w:styleId="Heading4Char">
    <w:name w:val="Heading 4 Char"/>
    <w:basedOn w:val="DefaultParagraphFont"/>
    <w:link w:val="Heading4"/>
    <w:uiPriority w:val="9"/>
    <w:semiHidden/>
    <w:rsid w:val="008E0720"/>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769342">
      <w:bodyDiv w:val="1"/>
      <w:marLeft w:val="0"/>
      <w:marRight w:val="0"/>
      <w:marTop w:val="0"/>
      <w:marBottom w:val="0"/>
      <w:divBdr>
        <w:top w:val="none" w:sz="0" w:space="0" w:color="auto"/>
        <w:left w:val="none" w:sz="0" w:space="0" w:color="auto"/>
        <w:bottom w:val="none" w:sz="0" w:space="0" w:color="auto"/>
        <w:right w:val="none" w:sz="0" w:space="0" w:color="auto"/>
      </w:divBdr>
      <w:divsChild>
        <w:div w:id="1787963774">
          <w:marLeft w:val="0"/>
          <w:marRight w:val="0"/>
          <w:marTop w:val="0"/>
          <w:marBottom w:val="0"/>
          <w:divBdr>
            <w:top w:val="none" w:sz="0" w:space="0" w:color="auto"/>
            <w:left w:val="none" w:sz="0" w:space="0" w:color="auto"/>
            <w:bottom w:val="none" w:sz="0" w:space="0" w:color="auto"/>
            <w:right w:val="none" w:sz="0" w:space="0" w:color="auto"/>
          </w:divBdr>
        </w:div>
      </w:divsChild>
    </w:div>
    <w:div w:id="1794398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1835</Words>
  <Characters>10465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2020-04-12T14:50:00Z</dcterms:created>
  <dcterms:modified xsi:type="dcterms:W3CDTF">2020-04-12T15:20:00Z</dcterms:modified>
</cp:coreProperties>
</file>