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611" w:rsidRPr="00401611" w:rsidRDefault="00401611" w:rsidP="00401611">
      <w:pPr>
        <w:spacing w:after="0" w:line="240" w:lineRule="auto"/>
        <w:rPr>
          <w:rFonts w:ascii="Times New Roman" w:eastAsia="Times New Roman" w:hAnsi="Times New Roman" w:cs="Times New Roman"/>
          <w:sz w:val="24"/>
          <w:szCs w:val="24"/>
          <w:lang w:eastAsia="en-PH"/>
        </w:rPr>
      </w:pPr>
      <w:r w:rsidRPr="00401611">
        <w:rPr>
          <w:rFonts w:ascii="Verdana" w:eastAsia="Times New Roman" w:hAnsi="Verdana" w:cs="Times New Roman"/>
          <w:color w:val="000000"/>
          <w:lang w:eastAsia="en-PH"/>
        </w:rPr>
        <w:t>380 Phil. 31</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r>
    </w:p>
    <w:p w:rsidR="00401611" w:rsidRPr="00401611" w:rsidRDefault="00401611" w:rsidP="00401611">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401611">
        <w:rPr>
          <w:rFonts w:ascii="Verdana" w:eastAsia="Times New Roman" w:hAnsi="Verdana" w:cs="Times New Roman"/>
          <w:b/>
          <w:bCs/>
          <w:color w:val="000000"/>
          <w:sz w:val="36"/>
          <w:szCs w:val="36"/>
          <w:lang w:eastAsia="en-PH"/>
        </w:rPr>
        <w:t>SECOND DIVISION</w:t>
      </w:r>
    </w:p>
    <w:p w:rsidR="00401611" w:rsidRPr="00401611" w:rsidRDefault="00401611" w:rsidP="00401611">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401611">
        <w:rPr>
          <w:rFonts w:ascii="Verdana" w:eastAsia="Times New Roman" w:hAnsi="Verdana" w:cs="Times New Roman"/>
          <w:b/>
          <w:bCs/>
          <w:color w:val="000000"/>
          <w:sz w:val="36"/>
          <w:szCs w:val="36"/>
          <w:lang w:eastAsia="en-PH"/>
        </w:rPr>
        <w:t>[ G.R</w:t>
      </w:r>
      <w:proofErr w:type="gramEnd"/>
      <w:r w:rsidRPr="00401611">
        <w:rPr>
          <w:rFonts w:ascii="Verdana" w:eastAsia="Times New Roman" w:hAnsi="Verdana" w:cs="Times New Roman"/>
          <w:b/>
          <w:bCs/>
          <w:color w:val="000000"/>
          <w:sz w:val="36"/>
          <w:szCs w:val="36"/>
          <w:lang w:eastAsia="en-PH"/>
        </w:rPr>
        <w:t>. No. 111285, January 24, 2000 ]</w:t>
      </w:r>
    </w:p>
    <w:p w:rsidR="00401611" w:rsidRPr="00401611" w:rsidRDefault="00401611" w:rsidP="00401611">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401611">
        <w:rPr>
          <w:rFonts w:ascii="Verdana" w:eastAsia="Times New Roman" w:hAnsi="Verdana" w:cs="Times New Roman"/>
          <w:b/>
          <w:bCs/>
          <w:color w:val="000000"/>
          <w:sz w:val="27"/>
          <w:szCs w:val="27"/>
          <w:lang w:eastAsia="en-PH"/>
        </w:rPr>
        <w:t>PEOPLE OF THE PHILIPPINES, PLAINTIFF-APPELLEE, VS.</w:t>
      </w:r>
      <w:proofErr w:type="gramEnd"/>
      <w:r w:rsidRPr="00401611">
        <w:rPr>
          <w:rFonts w:ascii="Verdana" w:eastAsia="Times New Roman" w:hAnsi="Verdana" w:cs="Times New Roman"/>
          <w:b/>
          <w:bCs/>
          <w:color w:val="000000"/>
          <w:sz w:val="27"/>
          <w:szCs w:val="27"/>
          <w:lang w:eastAsia="en-PH"/>
        </w:rPr>
        <w:t xml:space="preserve"> VICENTE </w:t>
      </w:r>
      <w:proofErr w:type="gramStart"/>
      <w:r w:rsidRPr="00401611">
        <w:rPr>
          <w:rFonts w:ascii="Verdana" w:eastAsia="Times New Roman" w:hAnsi="Verdana" w:cs="Times New Roman"/>
          <w:b/>
          <w:bCs/>
          <w:color w:val="000000"/>
          <w:sz w:val="27"/>
          <w:szCs w:val="27"/>
          <w:lang w:eastAsia="en-PH"/>
        </w:rPr>
        <w:t>VALLA</w:t>
      </w:r>
      <w:r w:rsidRPr="00401611">
        <w:rPr>
          <w:rFonts w:ascii="Verdana" w:eastAsia="Times New Roman" w:hAnsi="Verdana" w:cs="Times New Roman"/>
          <w:b/>
          <w:bCs/>
          <w:color w:val="FF0000"/>
          <w:sz w:val="27"/>
          <w:szCs w:val="27"/>
          <w:vertAlign w:val="superscript"/>
          <w:lang w:eastAsia="en-PH"/>
        </w:rPr>
        <w:t>[</w:t>
      </w:r>
      <w:proofErr w:type="gramEnd"/>
      <w:r>
        <w:rPr>
          <w:rStyle w:val="FootnoteReference"/>
          <w:rFonts w:ascii="Verdana" w:eastAsia="Times New Roman" w:hAnsi="Verdana" w:cs="Times New Roman"/>
          <w:b/>
          <w:bCs/>
          <w:color w:val="FF0000"/>
          <w:sz w:val="27"/>
          <w:szCs w:val="27"/>
          <w:lang w:eastAsia="en-PH"/>
        </w:rPr>
        <w:footnoteReference w:id="1"/>
      </w:r>
      <w:r w:rsidRPr="00401611">
        <w:rPr>
          <w:rFonts w:ascii="Verdana" w:eastAsia="Times New Roman" w:hAnsi="Verdana" w:cs="Times New Roman"/>
          <w:b/>
          <w:bCs/>
          <w:color w:val="FF0000"/>
          <w:sz w:val="27"/>
          <w:szCs w:val="27"/>
          <w:vertAlign w:val="superscript"/>
          <w:lang w:eastAsia="en-PH"/>
        </w:rPr>
        <w:t>]</w:t>
      </w:r>
      <w:r w:rsidRPr="00401611">
        <w:rPr>
          <w:rFonts w:ascii="Verdana" w:eastAsia="Times New Roman" w:hAnsi="Verdana" w:cs="Times New Roman"/>
          <w:b/>
          <w:bCs/>
          <w:color w:val="000000"/>
          <w:sz w:val="27"/>
          <w:szCs w:val="27"/>
          <w:lang w:eastAsia="en-PH"/>
        </w:rPr>
        <w:t>, ACCUSED-APPELLANT.</w:t>
      </w:r>
      <w:r w:rsidRPr="00401611">
        <w:rPr>
          <w:rFonts w:ascii="Verdana" w:eastAsia="Times New Roman" w:hAnsi="Verdana" w:cs="Times New Roman"/>
          <w:b/>
          <w:bCs/>
          <w:color w:val="000000"/>
          <w:sz w:val="27"/>
          <w:szCs w:val="27"/>
          <w:lang w:eastAsia="en-PH"/>
        </w:rPr>
        <w:br/>
      </w:r>
      <w:r w:rsidRPr="00401611">
        <w:rPr>
          <w:rFonts w:ascii="Verdana" w:eastAsia="Times New Roman" w:hAnsi="Verdana" w:cs="Times New Roman"/>
          <w:b/>
          <w:bCs/>
          <w:color w:val="000000"/>
          <w:sz w:val="27"/>
          <w:szCs w:val="27"/>
          <w:lang w:eastAsia="en-PH"/>
        </w:rPr>
        <w:br/>
        <w:t>D E C I S I O N</w:t>
      </w:r>
    </w:p>
    <w:p w:rsidR="00401611" w:rsidRPr="00401611" w:rsidRDefault="00401611" w:rsidP="00401611">
      <w:pPr>
        <w:spacing w:before="100" w:beforeAutospacing="1" w:after="100" w:afterAutospacing="1" w:line="240" w:lineRule="auto"/>
        <w:rPr>
          <w:rFonts w:ascii="Verdana" w:eastAsia="Times New Roman" w:hAnsi="Verdana" w:cs="Times New Roman"/>
          <w:color w:val="000000"/>
          <w:lang w:eastAsia="en-PH"/>
        </w:rPr>
      </w:pPr>
      <w:r w:rsidRPr="00401611">
        <w:rPr>
          <w:rFonts w:ascii="Verdana" w:eastAsia="Times New Roman" w:hAnsi="Verdana" w:cs="Times New Roman"/>
          <w:b/>
          <w:bCs/>
          <w:color w:val="000000"/>
          <w:lang w:eastAsia="en-PH"/>
        </w:rPr>
        <w:t>QUISUMBING, J.:</w:t>
      </w:r>
    </w:p>
    <w:p w:rsidR="00401611" w:rsidRDefault="00401611" w:rsidP="00401611">
      <w:pPr>
        <w:spacing w:after="0" w:line="240" w:lineRule="auto"/>
        <w:rPr>
          <w:rFonts w:ascii="Verdana" w:eastAsia="Times New Roman" w:hAnsi="Verdana" w:cs="Times New Roman"/>
          <w:color w:val="000000"/>
          <w:lang w:eastAsia="en-PH"/>
        </w:rPr>
      </w:pPr>
      <w:r w:rsidRPr="00401611">
        <w:rPr>
          <w:rFonts w:ascii="Verdana" w:eastAsia="Times New Roman" w:hAnsi="Verdana" w:cs="Times New Roman"/>
          <w:color w:val="000000"/>
          <w:lang w:eastAsia="en-PH"/>
        </w:rPr>
        <w:t xml:space="preserve">On appeal is the decision dated March 29, 1993 of the Regional Trial Court of </w:t>
      </w:r>
      <w:proofErr w:type="spellStart"/>
      <w:r w:rsidRPr="00401611">
        <w:rPr>
          <w:rFonts w:ascii="Verdana" w:eastAsia="Times New Roman" w:hAnsi="Verdana" w:cs="Times New Roman"/>
          <w:color w:val="000000"/>
          <w:lang w:eastAsia="en-PH"/>
        </w:rPr>
        <w:t>Gumaca</w:t>
      </w:r>
      <w:proofErr w:type="spellEnd"/>
      <w:r w:rsidRPr="00401611">
        <w:rPr>
          <w:rFonts w:ascii="Verdana" w:eastAsia="Times New Roman" w:hAnsi="Verdana" w:cs="Times New Roman"/>
          <w:color w:val="000000"/>
          <w:lang w:eastAsia="en-PH"/>
        </w:rPr>
        <w:t>, Quezon, Branch 62, convicting appellant of the crime of rape with homicide, imposing upon him the penalty of </w:t>
      </w:r>
      <w:r w:rsidRPr="00401611">
        <w:rPr>
          <w:rFonts w:ascii="Verdana" w:eastAsia="Times New Roman" w:hAnsi="Verdana" w:cs="Times New Roman"/>
          <w:i/>
          <w:iCs/>
          <w:color w:val="000000"/>
          <w:lang w:eastAsia="en-PH"/>
        </w:rPr>
        <w:t xml:space="preserve">reclusion </w:t>
      </w:r>
      <w:proofErr w:type="spellStart"/>
      <w:r w:rsidRPr="00401611">
        <w:rPr>
          <w:rFonts w:ascii="Verdana" w:eastAsia="Times New Roman" w:hAnsi="Verdana" w:cs="Times New Roman"/>
          <w:i/>
          <w:iCs/>
          <w:color w:val="000000"/>
          <w:lang w:eastAsia="en-PH"/>
        </w:rPr>
        <w:t>perpetua</w:t>
      </w:r>
      <w:proofErr w:type="spellEnd"/>
      <w:r w:rsidRPr="00401611">
        <w:rPr>
          <w:rFonts w:ascii="Verdana" w:eastAsia="Times New Roman" w:hAnsi="Verdana" w:cs="Times New Roman"/>
          <w:color w:val="000000"/>
          <w:lang w:eastAsia="en-PH"/>
        </w:rPr>
        <w:t>, and ordering him to pay the heirs of the victim the amount of P50</w:t>
      </w:r>
      <w:proofErr w:type="gramStart"/>
      <w:r w:rsidRPr="00401611">
        <w:rPr>
          <w:rFonts w:ascii="Verdana" w:eastAsia="Times New Roman" w:hAnsi="Verdana" w:cs="Times New Roman"/>
          <w:color w:val="000000"/>
          <w:lang w:eastAsia="en-PH"/>
        </w:rPr>
        <w:t>,000.00</w:t>
      </w:r>
      <w:proofErr w:type="gramEnd"/>
      <w:r w:rsidRPr="00401611">
        <w:rPr>
          <w:rFonts w:ascii="Verdana" w:eastAsia="Times New Roman" w:hAnsi="Verdana" w:cs="Times New Roman"/>
          <w:color w:val="000000"/>
          <w:lang w:eastAsia="en-PH"/>
        </w:rPr>
        <w:t xml:space="preserve"> as indemnity and P30,000.00 as actual and moral damages.</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 xml:space="preserve">Appellant was 28 years old, married, cousin of the victim, and resident of Barangay </w:t>
      </w:r>
      <w:proofErr w:type="spellStart"/>
      <w:r w:rsidRPr="00401611">
        <w:rPr>
          <w:rFonts w:ascii="Verdana" w:eastAsia="Times New Roman" w:hAnsi="Verdana" w:cs="Times New Roman"/>
          <w:color w:val="000000"/>
          <w:lang w:eastAsia="en-PH"/>
        </w:rPr>
        <w:t>Tayuman</w:t>
      </w:r>
      <w:proofErr w:type="spellEnd"/>
      <w:r w:rsidRPr="00401611">
        <w:rPr>
          <w:rFonts w:ascii="Verdana" w:eastAsia="Times New Roman" w:hAnsi="Verdana" w:cs="Times New Roman"/>
          <w:color w:val="000000"/>
          <w:lang w:eastAsia="en-PH"/>
        </w:rPr>
        <w:t xml:space="preserve">, San Francisco, Quezon, at the time of incident. The victim was an eight (8) year-old girl, </w:t>
      </w:r>
      <w:proofErr w:type="spellStart"/>
      <w:r w:rsidRPr="00401611">
        <w:rPr>
          <w:rFonts w:ascii="Verdana" w:eastAsia="Times New Roman" w:hAnsi="Verdana" w:cs="Times New Roman"/>
          <w:color w:val="000000"/>
          <w:lang w:eastAsia="en-PH"/>
        </w:rPr>
        <w:t>Dyesebel</w:t>
      </w:r>
      <w:proofErr w:type="spellEnd"/>
      <w:r w:rsidRPr="00401611">
        <w:rPr>
          <w:rFonts w:ascii="Verdana" w:eastAsia="Times New Roman" w:hAnsi="Verdana" w:cs="Times New Roman"/>
          <w:color w:val="000000"/>
          <w:lang w:eastAsia="en-PH"/>
        </w:rPr>
        <w:t xml:space="preserve"> "Gigi" de la Cruz, who was reported missing and the following day found raped and strangled to death near the riverbank of the </w:t>
      </w:r>
      <w:proofErr w:type="spellStart"/>
      <w:r w:rsidRPr="00401611">
        <w:rPr>
          <w:rFonts w:ascii="Verdana" w:eastAsia="Times New Roman" w:hAnsi="Verdana" w:cs="Times New Roman"/>
          <w:color w:val="000000"/>
          <w:lang w:eastAsia="en-PH"/>
        </w:rPr>
        <w:t>Tayuman</w:t>
      </w:r>
      <w:proofErr w:type="spellEnd"/>
      <w:r w:rsidRPr="00401611">
        <w:rPr>
          <w:rFonts w:ascii="Verdana" w:eastAsia="Times New Roman" w:hAnsi="Verdana" w:cs="Times New Roman"/>
          <w:color w:val="000000"/>
          <w:lang w:eastAsia="en-PH"/>
        </w:rPr>
        <w:t xml:space="preserve"> </w:t>
      </w:r>
      <w:proofErr w:type="gramStart"/>
      <w:r w:rsidRPr="00401611">
        <w:rPr>
          <w:rFonts w:ascii="Verdana" w:eastAsia="Times New Roman" w:hAnsi="Verdana" w:cs="Times New Roman"/>
          <w:color w:val="000000"/>
          <w:lang w:eastAsia="en-PH"/>
        </w:rPr>
        <w:t>river</w:t>
      </w:r>
      <w:proofErr w:type="gramEnd"/>
      <w:r w:rsidRPr="00401611">
        <w:rPr>
          <w:rFonts w:ascii="Verdana" w:eastAsia="Times New Roman" w:hAnsi="Verdana" w:cs="Times New Roman"/>
          <w:color w:val="000000"/>
          <w:lang w:eastAsia="en-PH"/>
        </w:rPr>
        <w:t xml:space="preserve"> in Quezon province.</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The facts, as summarized by the Office of the Solicitor General, which we find to be supported by the records, are as follows:</w:t>
      </w:r>
    </w:p>
    <w:p w:rsidR="00F87954" w:rsidRPr="00401611" w:rsidRDefault="00F87954" w:rsidP="00401611">
      <w:pPr>
        <w:spacing w:after="0" w:line="240" w:lineRule="auto"/>
        <w:rPr>
          <w:rFonts w:ascii="Verdana" w:eastAsia="Times New Roman" w:hAnsi="Verdana" w:cs="Times New Roman"/>
          <w:color w:val="000000"/>
          <w:lang w:eastAsia="en-PH"/>
        </w:rPr>
      </w:pPr>
    </w:p>
    <w:p w:rsidR="00401611" w:rsidRPr="00F87954" w:rsidRDefault="00401611" w:rsidP="00F87954">
      <w:pPr>
        <w:spacing w:after="0" w:line="240" w:lineRule="auto"/>
        <w:ind w:left="720"/>
        <w:rPr>
          <w:rFonts w:eastAsia="Times New Roman" w:cstheme="minorHAnsi"/>
          <w:color w:val="FF0000"/>
          <w:vertAlign w:val="superscript"/>
          <w:lang w:eastAsia="en-PH"/>
        </w:rPr>
      </w:pPr>
      <w:r w:rsidRPr="00401611">
        <w:rPr>
          <w:rFonts w:eastAsia="Times New Roman" w:cstheme="minorHAnsi"/>
          <w:color w:val="000000"/>
          <w:lang w:eastAsia="en-PH"/>
        </w:rPr>
        <w:t xml:space="preserve">"1. On April 14, 1991, at around nine o’clock in the morning, Myra Pines, a twelve-year old girl, was passing by the </w:t>
      </w:r>
      <w:proofErr w:type="spellStart"/>
      <w:r w:rsidRPr="00401611">
        <w:rPr>
          <w:rFonts w:eastAsia="Times New Roman" w:cstheme="minorHAnsi"/>
          <w:color w:val="000000"/>
          <w:lang w:eastAsia="en-PH"/>
        </w:rPr>
        <w:t>ricefield</w:t>
      </w:r>
      <w:proofErr w:type="spellEnd"/>
      <w:r w:rsidRPr="00401611">
        <w:rPr>
          <w:rFonts w:eastAsia="Times New Roman" w:cstheme="minorHAnsi"/>
          <w:color w:val="000000"/>
          <w:lang w:eastAsia="en-PH"/>
        </w:rPr>
        <w:t xml:space="preserve"> near the road located at Barangay </w:t>
      </w:r>
      <w:proofErr w:type="spellStart"/>
      <w:r w:rsidRPr="00401611">
        <w:rPr>
          <w:rFonts w:eastAsia="Times New Roman" w:cstheme="minorHAnsi"/>
          <w:color w:val="000000"/>
          <w:lang w:eastAsia="en-PH"/>
        </w:rPr>
        <w:t>Ilayang</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Tayuman</w:t>
      </w:r>
      <w:proofErr w:type="spellEnd"/>
      <w:r w:rsidRPr="00401611">
        <w:rPr>
          <w:rFonts w:eastAsia="Times New Roman" w:cstheme="minorHAnsi"/>
          <w:color w:val="000000"/>
          <w:lang w:eastAsia="en-PH"/>
        </w:rPr>
        <w:t xml:space="preserve"> in the Municipality of San Francisco, Quezon Province. She was carrying bananas on her way to the crossing in said municipality. (pp. 3-6, Pines, February 5, 1991).</w:t>
      </w:r>
      <w:r w:rsidRPr="00401611">
        <w:rPr>
          <w:rFonts w:eastAsia="Times New Roman" w:cstheme="minorHAnsi"/>
          <w:color w:val="000000"/>
          <w:lang w:eastAsia="en-PH"/>
        </w:rPr>
        <w:br/>
      </w:r>
      <w:r w:rsidRPr="00401611">
        <w:rPr>
          <w:rFonts w:eastAsia="Times New Roman" w:cstheme="minorHAnsi"/>
          <w:color w:val="000000"/>
          <w:lang w:eastAsia="en-PH"/>
        </w:rPr>
        <w:br/>
        <w:t xml:space="preserve">"2. As she passed by the </w:t>
      </w:r>
      <w:proofErr w:type="spellStart"/>
      <w:r w:rsidRPr="00401611">
        <w:rPr>
          <w:rFonts w:eastAsia="Times New Roman" w:cstheme="minorHAnsi"/>
          <w:color w:val="000000"/>
          <w:lang w:eastAsia="en-PH"/>
        </w:rPr>
        <w:t>ricefield</w:t>
      </w:r>
      <w:proofErr w:type="spellEnd"/>
      <w:r w:rsidRPr="00401611">
        <w:rPr>
          <w:rFonts w:eastAsia="Times New Roman" w:cstheme="minorHAnsi"/>
          <w:color w:val="000000"/>
          <w:lang w:eastAsia="en-PH"/>
        </w:rPr>
        <w:t xml:space="preserve">, she heard a voice coming from the direction of the forested area of the place and it seemed to her that someone was being strangled. Listening closely, she recognized the voice as belonging to her friend and playmate, </w:t>
      </w:r>
      <w:proofErr w:type="spell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 xml:space="preserve"> de la Cruz, an eight-year old girl. Frightened at the thought that </w:t>
      </w:r>
      <w:proofErr w:type="spell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 xml:space="preserve"> was being strangled, Myra scampered and proceeded to the crossing where she was originally headed for. After discharging her bananas at the crossing, she went home. (pp. 5-6,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Pines, February 5, 1991).</w:t>
      </w:r>
      <w:r w:rsidRPr="00401611">
        <w:rPr>
          <w:rFonts w:eastAsia="Times New Roman" w:cstheme="minorHAnsi"/>
          <w:color w:val="000000"/>
          <w:lang w:eastAsia="en-PH"/>
        </w:rPr>
        <w:br/>
      </w:r>
      <w:r w:rsidRPr="00401611">
        <w:rPr>
          <w:rFonts w:eastAsia="Times New Roman" w:cstheme="minorHAnsi"/>
          <w:color w:val="000000"/>
          <w:lang w:eastAsia="en-PH"/>
        </w:rPr>
        <w:br/>
        <w:t xml:space="preserve">"3. Later that day, at around four o’clock in the afternoon, Barangay Captain </w:t>
      </w:r>
      <w:proofErr w:type="spellStart"/>
      <w:r w:rsidRPr="00401611">
        <w:rPr>
          <w:rFonts w:eastAsia="Times New Roman" w:cstheme="minorHAnsi"/>
          <w:color w:val="000000"/>
          <w:lang w:eastAsia="en-PH"/>
        </w:rPr>
        <w:t>Aristeo</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of Barangay </w:t>
      </w:r>
      <w:proofErr w:type="spellStart"/>
      <w:r w:rsidRPr="00401611">
        <w:rPr>
          <w:rFonts w:eastAsia="Times New Roman" w:cstheme="minorHAnsi"/>
          <w:color w:val="000000"/>
          <w:lang w:eastAsia="en-PH"/>
        </w:rPr>
        <w:t>Ilayang</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Tayuman</w:t>
      </w:r>
      <w:proofErr w:type="spellEnd"/>
      <w:r w:rsidRPr="00401611">
        <w:rPr>
          <w:rFonts w:eastAsia="Times New Roman" w:cstheme="minorHAnsi"/>
          <w:color w:val="000000"/>
          <w:lang w:eastAsia="en-PH"/>
        </w:rPr>
        <w:t xml:space="preserve"> was visited in his house by Mila de la Cruz, </w:t>
      </w:r>
      <w:proofErr w:type="spellStart"/>
      <w:r w:rsidRPr="00401611">
        <w:rPr>
          <w:rFonts w:eastAsia="Times New Roman" w:cstheme="minorHAnsi"/>
          <w:color w:val="000000"/>
          <w:lang w:eastAsia="en-PH"/>
        </w:rPr>
        <w:t>Dyesebel’s</w:t>
      </w:r>
      <w:proofErr w:type="spellEnd"/>
      <w:r w:rsidRPr="00401611">
        <w:rPr>
          <w:rFonts w:eastAsia="Times New Roman" w:cstheme="minorHAnsi"/>
          <w:color w:val="000000"/>
          <w:lang w:eastAsia="en-PH"/>
        </w:rPr>
        <w:t xml:space="preserve"> mother, who reported that her daughter was missing.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sought the assistance of his constituents and organized a search party composed of the members of the </w:t>
      </w:r>
      <w:proofErr w:type="spellStart"/>
      <w:r w:rsidRPr="00401611">
        <w:rPr>
          <w:rFonts w:eastAsia="Times New Roman" w:cstheme="minorHAnsi"/>
          <w:color w:val="000000"/>
          <w:lang w:eastAsia="en-PH"/>
        </w:rPr>
        <w:t>Sangguniang</w:t>
      </w:r>
      <w:proofErr w:type="spellEnd"/>
      <w:r w:rsidRPr="00401611">
        <w:rPr>
          <w:rFonts w:eastAsia="Times New Roman" w:cstheme="minorHAnsi"/>
          <w:color w:val="000000"/>
          <w:lang w:eastAsia="en-PH"/>
        </w:rPr>
        <w:t xml:space="preserve"> </w:t>
      </w:r>
      <w:r w:rsidRPr="00401611">
        <w:rPr>
          <w:rFonts w:eastAsia="Times New Roman" w:cstheme="minorHAnsi"/>
          <w:color w:val="000000"/>
          <w:lang w:eastAsia="en-PH"/>
        </w:rPr>
        <w:lastRenderedPageBreak/>
        <w:t xml:space="preserve">Barangay, a Barangay </w:t>
      </w:r>
      <w:proofErr w:type="spellStart"/>
      <w:r w:rsidRPr="00401611">
        <w:rPr>
          <w:rFonts w:eastAsia="Times New Roman" w:cstheme="minorHAnsi"/>
          <w:color w:val="000000"/>
          <w:lang w:eastAsia="en-PH"/>
        </w:rPr>
        <w:t>Tanod</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Dyesebel’s</w:t>
      </w:r>
      <w:proofErr w:type="spellEnd"/>
      <w:r w:rsidRPr="00401611">
        <w:rPr>
          <w:rFonts w:eastAsia="Times New Roman" w:cstheme="minorHAnsi"/>
          <w:color w:val="000000"/>
          <w:lang w:eastAsia="en-PH"/>
        </w:rPr>
        <w:t xml:space="preserve"> father Gonzalo de la Cruz, and other residents of the barangay. Prosecution witnesses </w:t>
      </w:r>
      <w:proofErr w:type="spellStart"/>
      <w:r w:rsidRPr="00401611">
        <w:rPr>
          <w:rFonts w:eastAsia="Times New Roman" w:cstheme="minorHAnsi"/>
          <w:color w:val="000000"/>
          <w:lang w:eastAsia="en-PH"/>
        </w:rPr>
        <w:t>Bayani</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Samadan</w:t>
      </w:r>
      <w:proofErr w:type="spellEnd"/>
      <w:r w:rsidRPr="00401611">
        <w:rPr>
          <w:rFonts w:eastAsia="Times New Roman" w:cstheme="minorHAnsi"/>
          <w:color w:val="000000"/>
          <w:lang w:eastAsia="en-PH"/>
        </w:rPr>
        <w:t xml:space="preserve">, a </w:t>
      </w:r>
      <w:proofErr w:type="spellStart"/>
      <w:r w:rsidRPr="00401611">
        <w:rPr>
          <w:rFonts w:eastAsia="Times New Roman" w:cstheme="minorHAnsi"/>
          <w:color w:val="000000"/>
          <w:lang w:eastAsia="en-PH"/>
        </w:rPr>
        <w:t>Kagawad</w:t>
      </w:r>
      <w:proofErr w:type="spellEnd"/>
      <w:r w:rsidRPr="00401611">
        <w:rPr>
          <w:rFonts w:eastAsia="Times New Roman" w:cstheme="minorHAnsi"/>
          <w:color w:val="000000"/>
          <w:lang w:eastAsia="en-PH"/>
        </w:rPr>
        <w:t xml:space="preserve"> of the </w:t>
      </w:r>
      <w:proofErr w:type="spellStart"/>
      <w:r w:rsidRPr="00401611">
        <w:rPr>
          <w:rFonts w:eastAsia="Times New Roman" w:cstheme="minorHAnsi"/>
          <w:color w:val="000000"/>
          <w:lang w:eastAsia="en-PH"/>
        </w:rPr>
        <w:t>Sangguniang</w:t>
      </w:r>
      <w:proofErr w:type="spellEnd"/>
      <w:r w:rsidRPr="00401611">
        <w:rPr>
          <w:rFonts w:eastAsia="Times New Roman" w:cstheme="minorHAnsi"/>
          <w:color w:val="000000"/>
          <w:lang w:eastAsia="en-PH"/>
        </w:rPr>
        <w:t xml:space="preserve"> Barangay and Reynaldo Merle, a ‘barangay </w:t>
      </w:r>
      <w:proofErr w:type="spellStart"/>
      <w:r w:rsidRPr="00401611">
        <w:rPr>
          <w:rFonts w:eastAsia="Times New Roman" w:cstheme="minorHAnsi"/>
          <w:color w:val="000000"/>
          <w:lang w:eastAsia="en-PH"/>
        </w:rPr>
        <w:t>tanod</w:t>
      </w:r>
      <w:proofErr w:type="spellEnd"/>
      <w:r w:rsidRPr="00401611">
        <w:rPr>
          <w:rFonts w:eastAsia="Times New Roman" w:cstheme="minorHAnsi"/>
          <w:color w:val="000000"/>
          <w:lang w:eastAsia="en-PH"/>
        </w:rPr>
        <w:t xml:space="preserve">,’ were among the searchers (pp. 10-13,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February 5, 1991; p. 24,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De la Cruz, February 5, 1991; pp. 6-7,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Merle, July 18, 1991; pp. 4-7,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Samadan</w:t>
      </w:r>
      <w:proofErr w:type="spellEnd"/>
      <w:r w:rsidRPr="00401611">
        <w:rPr>
          <w:rFonts w:eastAsia="Times New Roman" w:cstheme="minorHAnsi"/>
          <w:color w:val="000000"/>
          <w:lang w:eastAsia="en-PH"/>
        </w:rPr>
        <w:t>, September 17, 1991).</w:t>
      </w:r>
      <w:r w:rsidRPr="00401611">
        <w:rPr>
          <w:rFonts w:eastAsia="Times New Roman" w:cstheme="minorHAnsi"/>
          <w:color w:val="000000"/>
          <w:lang w:eastAsia="en-PH"/>
        </w:rPr>
        <w:br/>
      </w:r>
      <w:r w:rsidRPr="00401611">
        <w:rPr>
          <w:rFonts w:eastAsia="Times New Roman" w:cstheme="minorHAnsi"/>
          <w:color w:val="000000"/>
          <w:lang w:eastAsia="en-PH"/>
        </w:rPr>
        <w:br/>
        <w:t xml:space="preserve">"4. Barangay Captain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learned from Gonzalo de la Cruz that, earlier, </w:t>
      </w:r>
      <w:proofErr w:type="spell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 xml:space="preserve"> was in the company of accused-appellant Vicente Valla, and that both of them were tasked to watch the </w:t>
      </w:r>
      <w:proofErr w:type="spellStart"/>
      <w:r w:rsidRPr="00401611">
        <w:rPr>
          <w:rFonts w:eastAsia="Times New Roman" w:cstheme="minorHAnsi"/>
          <w:color w:val="000000"/>
          <w:lang w:eastAsia="en-PH"/>
        </w:rPr>
        <w:t>ricefield</w:t>
      </w:r>
      <w:proofErr w:type="spellEnd"/>
      <w:r w:rsidRPr="00401611">
        <w:rPr>
          <w:rFonts w:eastAsia="Times New Roman" w:cstheme="minorHAnsi"/>
          <w:color w:val="000000"/>
          <w:lang w:eastAsia="en-PH"/>
        </w:rPr>
        <w:t xml:space="preserve">. They went to the </w:t>
      </w:r>
      <w:proofErr w:type="spellStart"/>
      <w:r w:rsidRPr="00401611">
        <w:rPr>
          <w:rFonts w:eastAsia="Times New Roman" w:cstheme="minorHAnsi"/>
          <w:color w:val="000000"/>
          <w:lang w:eastAsia="en-PH"/>
        </w:rPr>
        <w:t>ricefield</w:t>
      </w:r>
      <w:proofErr w:type="spellEnd"/>
      <w:r w:rsidRPr="00401611">
        <w:rPr>
          <w:rFonts w:eastAsia="Times New Roman" w:cstheme="minorHAnsi"/>
          <w:color w:val="000000"/>
          <w:lang w:eastAsia="en-PH"/>
        </w:rPr>
        <w:t xml:space="preserve"> but appellant was not there.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learned from a barangay </w:t>
      </w:r>
      <w:proofErr w:type="spellStart"/>
      <w:r w:rsidRPr="00401611">
        <w:rPr>
          <w:rFonts w:eastAsia="Times New Roman" w:cstheme="minorHAnsi"/>
          <w:color w:val="000000"/>
          <w:lang w:eastAsia="en-PH"/>
        </w:rPr>
        <w:t>tanod</w:t>
      </w:r>
      <w:proofErr w:type="spellEnd"/>
      <w:r w:rsidRPr="00401611">
        <w:rPr>
          <w:rFonts w:eastAsia="Times New Roman" w:cstheme="minorHAnsi"/>
          <w:color w:val="000000"/>
          <w:lang w:eastAsia="en-PH"/>
        </w:rPr>
        <w:t xml:space="preserve"> that appellant was drinking liquor in the house of a friend within the same barangay. He summoned appellant but the latter failed to immediately report to him. </w:t>
      </w:r>
      <w:proofErr w:type="gramStart"/>
      <w:r w:rsidRPr="00401611">
        <w:rPr>
          <w:rFonts w:eastAsia="Times New Roman" w:cstheme="minorHAnsi"/>
          <w:color w:val="000000"/>
          <w:lang w:eastAsia="en-PH"/>
        </w:rPr>
        <w:t xml:space="preserve">(pp. 14-15, and 20,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February 5, 1991).</w:t>
      </w:r>
      <w:proofErr w:type="gramEnd"/>
      <w:r w:rsidRPr="00401611">
        <w:rPr>
          <w:rFonts w:eastAsia="Times New Roman" w:cstheme="minorHAnsi"/>
          <w:color w:val="000000"/>
          <w:lang w:eastAsia="en-PH"/>
        </w:rPr>
        <w:br/>
      </w:r>
      <w:r w:rsidRPr="00401611">
        <w:rPr>
          <w:rFonts w:eastAsia="Times New Roman" w:cstheme="minorHAnsi"/>
          <w:color w:val="000000"/>
          <w:lang w:eastAsia="en-PH"/>
        </w:rPr>
        <w:br/>
        <w:t xml:space="preserve">"5. That afternoon,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and his party started their search but they had to stop at around 6:30 in the evening since it was already dark. The following day, they continued their search for </w:t>
      </w:r>
      <w:proofErr w:type="spell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 xml:space="preserve">. </w:t>
      </w:r>
      <w:proofErr w:type="gramStart"/>
      <w:r w:rsidRPr="00401611">
        <w:rPr>
          <w:rFonts w:eastAsia="Times New Roman" w:cstheme="minorHAnsi"/>
          <w:color w:val="000000"/>
          <w:lang w:eastAsia="en-PH"/>
        </w:rPr>
        <w:t xml:space="preserve">(p. 12,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February 5, 1991; pp. 7-8,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Merle, July 18, 1991).</w:t>
      </w:r>
      <w:proofErr w:type="gramEnd"/>
      <w:r w:rsidRPr="00401611">
        <w:rPr>
          <w:rFonts w:eastAsia="Times New Roman" w:cstheme="minorHAnsi"/>
          <w:color w:val="000000"/>
          <w:lang w:eastAsia="en-PH"/>
        </w:rPr>
        <w:br/>
      </w:r>
      <w:r w:rsidRPr="00401611">
        <w:rPr>
          <w:rFonts w:eastAsia="Times New Roman" w:cstheme="minorHAnsi"/>
          <w:color w:val="000000"/>
          <w:lang w:eastAsia="en-PH"/>
        </w:rPr>
        <w:br/>
        <w:t xml:space="preserve">"6. While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De la Cruz and the rest of their companions were searching for </w:t>
      </w:r>
      <w:proofErr w:type="spellStart"/>
      <w:proofErr w:type="gram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w:t>
      </w:r>
      <w:proofErr w:type="gramEnd"/>
      <w:r w:rsidRPr="00401611">
        <w:rPr>
          <w:rFonts w:eastAsia="Times New Roman" w:cstheme="minorHAnsi"/>
          <w:color w:val="000000"/>
          <w:lang w:eastAsia="en-PH"/>
        </w:rPr>
        <w:t xml:space="preserve"> they were joined by appellant who trailed behind them. Earlier, appellant spoke to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and told him that he knew nothing about </w:t>
      </w:r>
      <w:proofErr w:type="spellStart"/>
      <w:r w:rsidRPr="00401611">
        <w:rPr>
          <w:rFonts w:eastAsia="Times New Roman" w:cstheme="minorHAnsi"/>
          <w:color w:val="000000"/>
          <w:lang w:eastAsia="en-PH"/>
        </w:rPr>
        <w:t>Dyesebel’s</w:t>
      </w:r>
      <w:proofErr w:type="spellEnd"/>
      <w:r w:rsidRPr="00401611">
        <w:rPr>
          <w:rFonts w:eastAsia="Times New Roman" w:cstheme="minorHAnsi"/>
          <w:color w:val="000000"/>
          <w:lang w:eastAsia="en-PH"/>
        </w:rPr>
        <w:t xml:space="preserve"> whereabouts. (pp. 15-16,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February 5, 1991; p. 24,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De la Cruz, February 5, 1991; p. 13,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Merle, July 18, 1991; pp. 8-9,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Samadan</w:t>
      </w:r>
      <w:proofErr w:type="spellEnd"/>
      <w:r w:rsidRPr="00401611">
        <w:rPr>
          <w:rFonts w:eastAsia="Times New Roman" w:cstheme="minorHAnsi"/>
          <w:color w:val="000000"/>
          <w:lang w:eastAsia="en-PH"/>
        </w:rPr>
        <w:t>, September 17, 1991).</w:t>
      </w:r>
      <w:r w:rsidRPr="00401611">
        <w:rPr>
          <w:rFonts w:eastAsia="Times New Roman" w:cstheme="minorHAnsi"/>
          <w:color w:val="000000"/>
          <w:lang w:eastAsia="en-PH"/>
        </w:rPr>
        <w:br/>
      </w:r>
      <w:r w:rsidRPr="00401611">
        <w:rPr>
          <w:rFonts w:eastAsia="Times New Roman" w:cstheme="minorHAnsi"/>
          <w:color w:val="000000"/>
          <w:lang w:eastAsia="en-PH"/>
        </w:rPr>
        <w:br/>
        <w:t xml:space="preserve">"7. At around 11:00 o’clock in the morning of that day, they finally found </w:t>
      </w:r>
      <w:proofErr w:type="spell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 xml:space="preserve">. Her body was found near the river with her neck blackened and her vagina bloodied. She was still wearing her dress but her panty had been pulled down to her mid-thigh. (pp. 13-14,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February 5, 1991; p. 23,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De la Cruz, February 5, 1991; pp. 8-9,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Merle, July 18, 1991; pp. 7-8,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Samadan</w:t>
      </w:r>
      <w:proofErr w:type="spellEnd"/>
      <w:r w:rsidRPr="00401611">
        <w:rPr>
          <w:rFonts w:eastAsia="Times New Roman" w:cstheme="minorHAnsi"/>
          <w:color w:val="000000"/>
          <w:lang w:eastAsia="en-PH"/>
        </w:rPr>
        <w:t>, September 17, 1991).</w:t>
      </w:r>
      <w:r w:rsidRPr="00401611">
        <w:rPr>
          <w:rFonts w:eastAsia="Times New Roman" w:cstheme="minorHAnsi"/>
          <w:color w:val="000000"/>
          <w:lang w:eastAsia="en-PH"/>
        </w:rPr>
        <w:br/>
      </w:r>
      <w:r w:rsidRPr="00401611">
        <w:rPr>
          <w:rFonts w:eastAsia="Times New Roman" w:cstheme="minorHAnsi"/>
          <w:color w:val="000000"/>
          <w:lang w:eastAsia="en-PH"/>
        </w:rPr>
        <w:br/>
        <w:t xml:space="preserve">"8.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and his companions immediately confronted appellant who, out of remorse, admitted that he raped and killed </w:t>
      </w:r>
      <w:proofErr w:type="spell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 xml:space="preserve">. Thereafter, he addressed </w:t>
      </w:r>
      <w:proofErr w:type="spellStart"/>
      <w:r w:rsidRPr="00401611">
        <w:rPr>
          <w:rFonts w:eastAsia="Times New Roman" w:cstheme="minorHAnsi"/>
          <w:color w:val="000000"/>
          <w:lang w:eastAsia="en-PH"/>
        </w:rPr>
        <w:t>Dyesebel’s</w:t>
      </w:r>
      <w:proofErr w:type="spellEnd"/>
      <w:r w:rsidRPr="00401611">
        <w:rPr>
          <w:rFonts w:eastAsia="Times New Roman" w:cstheme="minorHAnsi"/>
          <w:color w:val="000000"/>
          <w:lang w:eastAsia="en-PH"/>
        </w:rPr>
        <w:t xml:space="preserve"> father, in the presence of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and company, offering his own daughter in payment of </w:t>
      </w:r>
      <w:proofErr w:type="spellStart"/>
      <w:r w:rsidRPr="00401611">
        <w:rPr>
          <w:rFonts w:eastAsia="Times New Roman" w:cstheme="minorHAnsi"/>
          <w:color w:val="000000"/>
          <w:lang w:eastAsia="en-PH"/>
        </w:rPr>
        <w:t>Dyesebel’s</w:t>
      </w:r>
      <w:proofErr w:type="spellEnd"/>
      <w:r w:rsidRPr="00401611">
        <w:rPr>
          <w:rFonts w:eastAsia="Times New Roman" w:cstheme="minorHAnsi"/>
          <w:color w:val="000000"/>
          <w:lang w:eastAsia="en-PH"/>
        </w:rPr>
        <w:t xml:space="preserve"> life which he took and begged for forgiveness. De la Cruz told appellant that he cannot accept appellant’s daughter and, thereafter, tried to </w:t>
      </w:r>
      <w:proofErr w:type="spellStart"/>
      <w:r w:rsidRPr="00401611">
        <w:rPr>
          <w:rFonts w:eastAsia="Times New Roman" w:cstheme="minorHAnsi"/>
          <w:color w:val="000000"/>
          <w:lang w:eastAsia="en-PH"/>
        </w:rPr>
        <w:t>unsheath</w:t>
      </w:r>
      <w:proofErr w:type="spellEnd"/>
      <w:r w:rsidRPr="00401611">
        <w:rPr>
          <w:rFonts w:eastAsia="Times New Roman" w:cstheme="minorHAnsi"/>
          <w:color w:val="000000"/>
          <w:lang w:eastAsia="en-PH"/>
        </w:rPr>
        <w:t xml:space="preserve"> his bolo. But before De la Cruz could attack appellant, he was held back by the people around him. Appellant was ordered arrested by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(pp. 16-17 and 21,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February 5, 1991; pp. 24-26 and 28,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De la Cruz, February 5, 1991; pp. 11 and 18,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Merle, July 18, 1991; pp. 9-11 and 13-14,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Samadan</w:t>
      </w:r>
      <w:proofErr w:type="spellEnd"/>
      <w:r w:rsidRPr="00401611">
        <w:rPr>
          <w:rFonts w:eastAsia="Times New Roman" w:cstheme="minorHAnsi"/>
          <w:color w:val="000000"/>
          <w:lang w:eastAsia="en-PH"/>
        </w:rPr>
        <w:t>, September 17, 1991).</w:t>
      </w:r>
      <w:r w:rsidRPr="00401611">
        <w:rPr>
          <w:rFonts w:eastAsia="Times New Roman" w:cstheme="minorHAnsi"/>
          <w:color w:val="000000"/>
          <w:lang w:eastAsia="en-PH"/>
        </w:rPr>
        <w:br/>
      </w:r>
      <w:r w:rsidRPr="00401611">
        <w:rPr>
          <w:rFonts w:eastAsia="Times New Roman" w:cstheme="minorHAnsi"/>
          <w:color w:val="000000"/>
          <w:lang w:eastAsia="en-PH"/>
        </w:rPr>
        <w:br/>
        <w:t xml:space="preserve">"9. That same day, at around one o’clock in the afternoon,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xml:space="preserve">, accompanied by </w:t>
      </w:r>
      <w:proofErr w:type="spellStart"/>
      <w:r w:rsidRPr="00401611">
        <w:rPr>
          <w:rFonts w:eastAsia="Times New Roman" w:cstheme="minorHAnsi"/>
          <w:color w:val="000000"/>
          <w:lang w:eastAsia="en-PH"/>
        </w:rPr>
        <w:t>Samadan</w:t>
      </w:r>
      <w:proofErr w:type="spellEnd"/>
      <w:r w:rsidRPr="00401611">
        <w:rPr>
          <w:rFonts w:eastAsia="Times New Roman" w:cstheme="minorHAnsi"/>
          <w:color w:val="000000"/>
          <w:lang w:eastAsia="en-PH"/>
        </w:rPr>
        <w:t xml:space="preserve">, Merle, De la Cruz, and one </w:t>
      </w:r>
      <w:proofErr w:type="spellStart"/>
      <w:r w:rsidRPr="00401611">
        <w:rPr>
          <w:rFonts w:eastAsia="Times New Roman" w:cstheme="minorHAnsi"/>
          <w:color w:val="000000"/>
          <w:lang w:eastAsia="en-PH"/>
        </w:rPr>
        <w:t>Abelardo</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Rego</w:t>
      </w:r>
      <w:proofErr w:type="spellEnd"/>
      <w:r w:rsidRPr="00401611">
        <w:rPr>
          <w:rFonts w:eastAsia="Times New Roman" w:cstheme="minorHAnsi"/>
          <w:color w:val="000000"/>
          <w:lang w:eastAsia="en-PH"/>
        </w:rPr>
        <w:t xml:space="preserve">, brought appellant to the police headquarters in San Francisco, Quezon. </w:t>
      </w:r>
      <w:proofErr w:type="gramStart"/>
      <w:r w:rsidRPr="00401611">
        <w:rPr>
          <w:rFonts w:eastAsia="Times New Roman" w:cstheme="minorHAnsi"/>
          <w:color w:val="000000"/>
          <w:lang w:eastAsia="en-PH"/>
        </w:rPr>
        <w:t xml:space="preserve">(pp. 5-6,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Rosales, November 6, 1991; p. 17,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Allarey</w:t>
      </w:r>
      <w:proofErr w:type="spellEnd"/>
      <w:r w:rsidRPr="00401611">
        <w:rPr>
          <w:rFonts w:eastAsia="Times New Roman" w:cstheme="minorHAnsi"/>
          <w:color w:val="000000"/>
          <w:lang w:eastAsia="en-PH"/>
        </w:rPr>
        <w:t>, February 5, 1991).</w:t>
      </w:r>
      <w:proofErr w:type="gramEnd"/>
      <w:r w:rsidRPr="00401611">
        <w:rPr>
          <w:rFonts w:eastAsia="Times New Roman" w:cstheme="minorHAnsi"/>
          <w:color w:val="000000"/>
          <w:lang w:eastAsia="en-PH"/>
        </w:rPr>
        <w:br/>
      </w:r>
      <w:r w:rsidRPr="00401611">
        <w:rPr>
          <w:rFonts w:eastAsia="Times New Roman" w:cstheme="minorHAnsi"/>
          <w:color w:val="000000"/>
          <w:lang w:eastAsia="en-PH"/>
        </w:rPr>
        <w:br/>
        <w:t xml:space="preserve">"10. </w:t>
      </w:r>
      <w:proofErr w:type="spellStart"/>
      <w:r w:rsidRPr="00401611">
        <w:rPr>
          <w:rFonts w:eastAsia="Times New Roman" w:cstheme="minorHAnsi"/>
          <w:color w:val="000000"/>
          <w:lang w:eastAsia="en-PH"/>
        </w:rPr>
        <w:t>Dyesebel’s</w:t>
      </w:r>
      <w:proofErr w:type="spellEnd"/>
      <w:r w:rsidRPr="00401611">
        <w:rPr>
          <w:rFonts w:eastAsia="Times New Roman" w:cstheme="minorHAnsi"/>
          <w:color w:val="000000"/>
          <w:lang w:eastAsia="en-PH"/>
        </w:rPr>
        <w:t xml:space="preserve"> body was brought to the </w:t>
      </w:r>
      <w:proofErr w:type="spellStart"/>
      <w:r w:rsidRPr="00401611">
        <w:rPr>
          <w:rFonts w:eastAsia="Times New Roman" w:cstheme="minorHAnsi"/>
          <w:color w:val="000000"/>
          <w:lang w:eastAsia="en-PH"/>
        </w:rPr>
        <w:t>Bondoc</w:t>
      </w:r>
      <w:proofErr w:type="spellEnd"/>
      <w:r w:rsidRPr="00401611">
        <w:rPr>
          <w:rFonts w:eastAsia="Times New Roman" w:cstheme="minorHAnsi"/>
          <w:color w:val="000000"/>
          <w:lang w:eastAsia="en-PH"/>
        </w:rPr>
        <w:t xml:space="preserve"> Peninsula District Hospital in </w:t>
      </w:r>
      <w:proofErr w:type="spellStart"/>
      <w:r w:rsidRPr="00401611">
        <w:rPr>
          <w:rFonts w:eastAsia="Times New Roman" w:cstheme="minorHAnsi"/>
          <w:color w:val="000000"/>
          <w:lang w:eastAsia="en-PH"/>
        </w:rPr>
        <w:t>Catanauan</w:t>
      </w:r>
      <w:proofErr w:type="spellEnd"/>
      <w:r w:rsidRPr="00401611">
        <w:rPr>
          <w:rFonts w:eastAsia="Times New Roman" w:cstheme="minorHAnsi"/>
          <w:color w:val="000000"/>
          <w:lang w:eastAsia="en-PH"/>
        </w:rPr>
        <w:t xml:space="preserve">, Quezon, where an autopsy was performed. </w:t>
      </w:r>
      <w:proofErr w:type="spellStart"/>
      <w:r w:rsidRPr="00401611">
        <w:rPr>
          <w:rFonts w:eastAsia="Times New Roman" w:cstheme="minorHAnsi"/>
          <w:color w:val="000000"/>
          <w:lang w:eastAsia="en-PH"/>
        </w:rPr>
        <w:t>Dyesebel’s</w:t>
      </w:r>
      <w:proofErr w:type="spellEnd"/>
      <w:r w:rsidRPr="00401611">
        <w:rPr>
          <w:rFonts w:eastAsia="Times New Roman" w:cstheme="minorHAnsi"/>
          <w:color w:val="000000"/>
          <w:lang w:eastAsia="en-PH"/>
        </w:rPr>
        <w:t xml:space="preserve"> skull bore a depression on the left temporal area which resulted from being struck with a hard object. Her pubic area bore blisters brought about by a contact with a lighted cigarette. Her hymen bore several lacerations indicative of repeated rape before and possibly, after she was killed. </w:t>
      </w:r>
      <w:proofErr w:type="gramStart"/>
      <w:r w:rsidRPr="00401611">
        <w:rPr>
          <w:rFonts w:eastAsia="Times New Roman" w:cstheme="minorHAnsi"/>
          <w:color w:val="000000"/>
          <w:lang w:eastAsia="en-PH"/>
        </w:rPr>
        <w:t xml:space="preserve">(pp. 4-6, </w:t>
      </w:r>
      <w:proofErr w:type="spellStart"/>
      <w:r w:rsidRPr="00401611">
        <w:rPr>
          <w:rFonts w:eastAsia="Times New Roman" w:cstheme="minorHAnsi"/>
          <w:color w:val="000000"/>
          <w:lang w:eastAsia="en-PH"/>
        </w:rPr>
        <w:t>tsn</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Madatu</w:t>
      </w:r>
      <w:proofErr w:type="spellEnd"/>
      <w:r w:rsidRPr="00401611">
        <w:rPr>
          <w:rFonts w:eastAsia="Times New Roman" w:cstheme="minorHAnsi"/>
          <w:color w:val="000000"/>
          <w:lang w:eastAsia="en-PH"/>
        </w:rPr>
        <w:t>, January 14, 1992)."</w:t>
      </w:r>
      <w:proofErr w:type="gramEnd"/>
      <w:r w:rsidRPr="00F87954">
        <w:rPr>
          <w:rFonts w:eastAsia="Times New Roman" w:cstheme="minorHAnsi"/>
          <w:color w:val="FF0000"/>
          <w:vertAlign w:val="superscript"/>
          <w:lang w:eastAsia="en-PH"/>
        </w:rPr>
        <w:t>[</w:t>
      </w:r>
      <w:r w:rsidR="008F7739" w:rsidRPr="00F87954">
        <w:rPr>
          <w:rStyle w:val="FootnoteReference"/>
          <w:rFonts w:eastAsia="Times New Roman" w:cstheme="minorHAnsi"/>
          <w:color w:val="FF0000"/>
          <w:lang w:eastAsia="en-PH"/>
        </w:rPr>
        <w:footnoteReference w:id="2"/>
      </w:r>
      <w:r w:rsidRPr="00401611">
        <w:rPr>
          <w:rFonts w:eastAsia="Times New Roman" w:cstheme="minorHAnsi"/>
          <w:color w:val="FF0000"/>
          <w:vertAlign w:val="superscript"/>
          <w:lang w:eastAsia="en-PH"/>
        </w:rPr>
        <w:t>]</w:t>
      </w:r>
    </w:p>
    <w:p w:rsidR="008F7739" w:rsidRPr="00401611" w:rsidRDefault="008F7739" w:rsidP="00401611">
      <w:pPr>
        <w:spacing w:after="0" w:line="240" w:lineRule="auto"/>
        <w:rPr>
          <w:rFonts w:ascii="Verdana" w:eastAsia="Times New Roman" w:hAnsi="Verdana" w:cs="Times New Roman"/>
          <w:color w:val="000000"/>
          <w:lang w:eastAsia="en-PH"/>
        </w:rPr>
      </w:pPr>
    </w:p>
    <w:p w:rsidR="00401611" w:rsidRPr="00401611" w:rsidRDefault="00401611" w:rsidP="00401611">
      <w:pPr>
        <w:spacing w:after="0" w:line="240" w:lineRule="auto"/>
        <w:rPr>
          <w:rFonts w:ascii="Verdana" w:eastAsia="Times New Roman" w:hAnsi="Verdana" w:cs="Times New Roman"/>
          <w:color w:val="000000"/>
          <w:lang w:eastAsia="en-PH"/>
        </w:rPr>
      </w:pPr>
      <w:r w:rsidRPr="00401611">
        <w:rPr>
          <w:rFonts w:ascii="Verdana" w:eastAsia="Times New Roman" w:hAnsi="Verdana" w:cs="Times New Roman"/>
          <w:color w:val="000000"/>
          <w:lang w:eastAsia="en-PH"/>
        </w:rPr>
        <w:t>On August 14, 1990, appellant was charged with the crime of "rape with murder" under the following Information:</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3"/>
      </w:r>
      <w:r w:rsidR="008F7739" w:rsidRPr="00401611">
        <w:rPr>
          <w:rFonts w:ascii="Verdana" w:eastAsia="Times New Roman" w:hAnsi="Verdana" w:cs="Times New Roman"/>
          <w:color w:val="FF0000"/>
          <w:vertAlign w:val="superscript"/>
          <w:lang w:eastAsia="en-PH"/>
        </w:rPr>
        <w:t>]</w:t>
      </w:r>
    </w:p>
    <w:p w:rsidR="008F7739" w:rsidRDefault="008F7739" w:rsidP="00401611">
      <w:pPr>
        <w:spacing w:after="0" w:line="240" w:lineRule="auto"/>
        <w:rPr>
          <w:rFonts w:ascii="Verdana" w:eastAsia="Times New Roman" w:hAnsi="Verdana" w:cs="Times New Roman"/>
          <w:color w:val="000000"/>
          <w:lang w:eastAsia="en-PH"/>
        </w:rPr>
      </w:pPr>
    </w:p>
    <w:p w:rsidR="00401611" w:rsidRPr="00401611" w:rsidRDefault="00401611" w:rsidP="008F7739">
      <w:pPr>
        <w:spacing w:after="0" w:line="240" w:lineRule="auto"/>
        <w:ind w:left="720"/>
        <w:rPr>
          <w:rFonts w:eastAsia="Times New Roman" w:cstheme="minorHAnsi"/>
          <w:color w:val="000000"/>
          <w:lang w:eastAsia="en-PH"/>
        </w:rPr>
      </w:pPr>
      <w:r w:rsidRPr="00401611">
        <w:rPr>
          <w:rFonts w:eastAsia="Times New Roman" w:cstheme="minorHAnsi"/>
          <w:color w:val="000000"/>
          <w:lang w:eastAsia="en-PH"/>
        </w:rPr>
        <w:t xml:space="preserve">"The undersigned upon complaint originally filed with the Municipal Circuit Trial Court of San Francisco-San Andres, by Gonzalo de la Cruz, father of the offended party </w:t>
      </w:r>
      <w:proofErr w:type="spell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 xml:space="preserve"> de la Cruz, accuses Vicente Valla (prisoner, (sic) of the crime of rape with murder, committed as follows:</w:t>
      </w:r>
      <w:r w:rsidRPr="00401611">
        <w:rPr>
          <w:rFonts w:eastAsia="Times New Roman" w:cstheme="minorHAnsi"/>
          <w:color w:val="000000"/>
          <w:lang w:eastAsia="en-PH"/>
        </w:rPr>
        <w:br/>
      </w:r>
      <w:r w:rsidRPr="00401611">
        <w:rPr>
          <w:rFonts w:eastAsia="Times New Roman" w:cstheme="minorHAnsi"/>
          <w:color w:val="000000"/>
          <w:lang w:eastAsia="en-PH"/>
        </w:rPr>
        <w:br/>
        <w:t xml:space="preserve">"That on or about the 14th day of April 1990, at Barangay </w:t>
      </w:r>
      <w:proofErr w:type="spellStart"/>
      <w:r w:rsidRPr="00401611">
        <w:rPr>
          <w:rFonts w:eastAsia="Times New Roman" w:cstheme="minorHAnsi"/>
          <w:color w:val="000000"/>
          <w:lang w:eastAsia="en-PH"/>
        </w:rPr>
        <w:t>Ilayang</w:t>
      </w:r>
      <w:proofErr w:type="spellEnd"/>
      <w:r w:rsidRPr="00401611">
        <w:rPr>
          <w:rFonts w:eastAsia="Times New Roman" w:cstheme="minorHAnsi"/>
          <w:color w:val="000000"/>
          <w:lang w:eastAsia="en-PH"/>
        </w:rPr>
        <w:t xml:space="preserve"> </w:t>
      </w:r>
      <w:proofErr w:type="spellStart"/>
      <w:r w:rsidRPr="00401611">
        <w:rPr>
          <w:rFonts w:eastAsia="Times New Roman" w:cstheme="minorHAnsi"/>
          <w:color w:val="000000"/>
          <w:lang w:eastAsia="en-PH"/>
        </w:rPr>
        <w:t>Tayuman</w:t>
      </w:r>
      <w:proofErr w:type="spellEnd"/>
      <w:r w:rsidRPr="00401611">
        <w:rPr>
          <w:rFonts w:eastAsia="Times New Roman" w:cstheme="minorHAnsi"/>
          <w:color w:val="000000"/>
          <w:lang w:eastAsia="en-PH"/>
        </w:rPr>
        <w:t xml:space="preserve">, in the Municipality of San Francisco, Province of Quezon, Philippines, and within the jurisdiction of this </w:t>
      </w:r>
      <w:proofErr w:type="spellStart"/>
      <w:r w:rsidRPr="00401611">
        <w:rPr>
          <w:rFonts w:eastAsia="Times New Roman" w:cstheme="minorHAnsi"/>
          <w:color w:val="000000"/>
          <w:lang w:eastAsia="en-PH"/>
        </w:rPr>
        <w:t>Honorable</w:t>
      </w:r>
      <w:proofErr w:type="spellEnd"/>
      <w:r w:rsidRPr="00401611">
        <w:rPr>
          <w:rFonts w:eastAsia="Times New Roman" w:cstheme="minorHAnsi"/>
          <w:color w:val="000000"/>
          <w:lang w:eastAsia="en-PH"/>
        </w:rPr>
        <w:t xml:space="preserve"> Court, the above-named accused with lewd design, by means of force and violence, did then and there </w:t>
      </w:r>
      <w:proofErr w:type="spellStart"/>
      <w:r w:rsidRPr="00401611">
        <w:rPr>
          <w:rFonts w:eastAsia="Times New Roman" w:cstheme="minorHAnsi"/>
          <w:color w:val="000000"/>
          <w:lang w:eastAsia="en-PH"/>
        </w:rPr>
        <w:t>willfully</w:t>
      </w:r>
      <w:proofErr w:type="spellEnd"/>
      <w:r w:rsidRPr="00401611">
        <w:rPr>
          <w:rFonts w:eastAsia="Times New Roman" w:cstheme="minorHAnsi"/>
          <w:color w:val="000000"/>
          <w:lang w:eastAsia="en-PH"/>
        </w:rPr>
        <w:t xml:space="preserve">, unlawfully and feloniously have carnal knowledge of one </w:t>
      </w:r>
      <w:proofErr w:type="spell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 xml:space="preserve"> de la Cruz, a minor, 8 years of age, against her will; that by reason, and on the occasion of said rape, the said accused with intent to kill and with treachery and taking advantage of his superior strength, did then and there </w:t>
      </w:r>
      <w:proofErr w:type="spellStart"/>
      <w:r w:rsidRPr="00401611">
        <w:rPr>
          <w:rFonts w:eastAsia="Times New Roman" w:cstheme="minorHAnsi"/>
          <w:color w:val="000000"/>
          <w:lang w:eastAsia="en-PH"/>
        </w:rPr>
        <w:t>willfully</w:t>
      </w:r>
      <w:proofErr w:type="spellEnd"/>
      <w:r w:rsidRPr="00401611">
        <w:rPr>
          <w:rFonts w:eastAsia="Times New Roman" w:cstheme="minorHAnsi"/>
          <w:color w:val="000000"/>
          <w:lang w:eastAsia="en-PH"/>
        </w:rPr>
        <w:t xml:space="preserve">, unlawfully and feloniously attack, assault and employ violence against said </w:t>
      </w:r>
      <w:proofErr w:type="spell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 xml:space="preserve"> de la Cruz, thereby inflicting upon the latter injuries on vital parts of her body, which directly caused her death.</w:t>
      </w:r>
      <w:r w:rsidRPr="00401611">
        <w:rPr>
          <w:rFonts w:eastAsia="Times New Roman" w:cstheme="minorHAnsi"/>
          <w:color w:val="000000"/>
          <w:lang w:eastAsia="en-PH"/>
        </w:rPr>
        <w:br/>
      </w:r>
      <w:r w:rsidRPr="00401611">
        <w:rPr>
          <w:rFonts w:eastAsia="Times New Roman" w:cstheme="minorHAnsi"/>
          <w:color w:val="000000"/>
          <w:lang w:eastAsia="en-PH"/>
        </w:rPr>
        <w:br/>
      </w:r>
      <w:proofErr w:type="gramStart"/>
      <w:r w:rsidRPr="00401611">
        <w:rPr>
          <w:rFonts w:eastAsia="Times New Roman" w:cstheme="minorHAnsi"/>
          <w:color w:val="000000"/>
          <w:lang w:eastAsia="en-PH"/>
        </w:rPr>
        <w:t>"Contrary to law."</w:t>
      </w:r>
      <w:proofErr w:type="gramEnd"/>
    </w:p>
    <w:p w:rsidR="008F7739" w:rsidRDefault="008F7739" w:rsidP="00401611">
      <w:pPr>
        <w:spacing w:after="0" w:line="240" w:lineRule="auto"/>
        <w:rPr>
          <w:rFonts w:ascii="Verdana" w:eastAsia="Times New Roman" w:hAnsi="Verdana" w:cs="Times New Roman"/>
          <w:color w:val="000000"/>
          <w:lang w:eastAsia="en-PH"/>
        </w:rPr>
      </w:pPr>
    </w:p>
    <w:p w:rsidR="00401611" w:rsidRDefault="00401611" w:rsidP="00401611">
      <w:pPr>
        <w:spacing w:after="0" w:line="240" w:lineRule="auto"/>
        <w:rPr>
          <w:rFonts w:ascii="Verdana" w:eastAsia="Times New Roman" w:hAnsi="Verdana" w:cs="Times New Roman"/>
          <w:color w:val="000000"/>
          <w:lang w:eastAsia="en-PH"/>
        </w:rPr>
      </w:pPr>
      <w:r w:rsidRPr="00401611">
        <w:rPr>
          <w:rFonts w:ascii="Verdana" w:eastAsia="Times New Roman" w:hAnsi="Verdana" w:cs="Times New Roman"/>
          <w:color w:val="000000"/>
          <w:lang w:eastAsia="en-PH"/>
        </w:rPr>
        <w:t>Upon arraignment, appellant, duly assisted by counsel </w:t>
      </w:r>
      <w:r w:rsidRPr="00401611">
        <w:rPr>
          <w:rFonts w:ascii="Verdana" w:eastAsia="Times New Roman" w:hAnsi="Verdana" w:cs="Times New Roman"/>
          <w:i/>
          <w:iCs/>
          <w:color w:val="000000"/>
          <w:lang w:eastAsia="en-PH"/>
        </w:rPr>
        <w:t xml:space="preserve">de </w:t>
      </w:r>
      <w:proofErr w:type="spellStart"/>
      <w:r w:rsidRPr="00401611">
        <w:rPr>
          <w:rFonts w:ascii="Verdana" w:eastAsia="Times New Roman" w:hAnsi="Verdana" w:cs="Times New Roman"/>
          <w:i/>
          <w:iCs/>
          <w:color w:val="000000"/>
          <w:lang w:eastAsia="en-PH"/>
        </w:rPr>
        <w:t>oficio</w:t>
      </w:r>
      <w:proofErr w:type="spellEnd"/>
      <w:r w:rsidRPr="00401611">
        <w:rPr>
          <w:rFonts w:ascii="Verdana" w:eastAsia="Times New Roman" w:hAnsi="Verdana" w:cs="Times New Roman"/>
          <w:color w:val="000000"/>
          <w:lang w:eastAsia="en-PH"/>
        </w:rPr>
        <w:t xml:space="preserve"> Atty. Ronaldo </w:t>
      </w:r>
      <w:proofErr w:type="spellStart"/>
      <w:r w:rsidRPr="00401611">
        <w:rPr>
          <w:rFonts w:ascii="Verdana" w:eastAsia="Times New Roman" w:hAnsi="Verdana" w:cs="Times New Roman"/>
          <w:color w:val="000000"/>
          <w:lang w:eastAsia="en-PH"/>
        </w:rPr>
        <w:t>Salamillas</w:t>
      </w:r>
      <w:proofErr w:type="spellEnd"/>
      <w:r w:rsidRPr="00401611">
        <w:rPr>
          <w:rFonts w:ascii="Verdana" w:eastAsia="Times New Roman" w:hAnsi="Verdana" w:cs="Times New Roman"/>
          <w:color w:val="000000"/>
          <w:lang w:eastAsia="en-PH"/>
        </w:rPr>
        <w:t>, entered a plea of not guilty to the crime charged.</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4"/>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Trial on the merits ensued.</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 xml:space="preserve">The prosecution presented the following witnesses: (1) Myra Pines, the victim’s 12 year-old playmate, who heard the victim’s cries as she was being strangled, but became afraid and went home instead; (2) </w:t>
      </w:r>
      <w:proofErr w:type="spellStart"/>
      <w:r w:rsidRPr="00401611">
        <w:rPr>
          <w:rFonts w:ascii="Verdana" w:eastAsia="Times New Roman" w:hAnsi="Verdana" w:cs="Times New Roman"/>
          <w:color w:val="000000"/>
          <w:lang w:eastAsia="en-PH"/>
        </w:rPr>
        <w:t>Aristeo</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Allarey</w:t>
      </w:r>
      <w:proofErr w:type="spellEnd"/>
      <w:r w:rsidRPr="00401611">
        <w:rPr>
          <w:rFonts w:ascii="Verdana" w:eastAsia="Times New Roman" w:hAnsi="Verdana" w:cs="Times New Roman"/>
          <w:color w:val="000000"/>
          <w:lang w:eastAsia="en-PH"/>
        </w:rPr>
        <w:t xml:space="preserve">, the Barangay Captain of </w:t>
      </w:r>
      <w:proofErr w:type="spellStart"/>
      <w:r w:rsidRPr="00401611">
        <w:rPr>
          <w:rFonts w:ascii="Verdana" w:eastAsia="Times New Roman" w:hAnsi="Verdana" w:cs="Times New Roman"/>
          <w:color w:val="000000"/>
          <w:lang w:eastAsia="en-PH"/>
        </w:rPr>
        <w:t>Ilayang</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Tayuman</w:t>
      </w:r>
      <w:proofErr w:type="spellEnd"/>
      <w:r w:rsidRPr="00401611">
        <w:rPr>
          <w:rFonts w:ascii="Verdana" w:eastAsia="Times New Roman" w:hAnsi="Verdana" w:cs="Times New Roman"/>
          <w:color w:val="000000"/>
          <w:lang w:eastAsia="en-PH"/>
        </w:rPr>
        <w:t xml:space="preserve">, San Francisco, Quezon, who organized a search party upon report of the mother that her daughter was missing, and before whom, appellant admitted that he raped and killed the victim, and even offered his (appellant’s) daughter in return; (3) Gonzalo de la Cruz, father of the victim, who took part in the search party, and who witnessed appellant’s confession to the commission of the crime; (4) Reynaldo Merle, Barangay </w:t>
      </w:r>
      <w:proofErr w:type="spellStart"/>
      <w:r w:rsidRPr="00401611">
        <w:rPr>
          <w:rFonts w:ascii="Verdana" w:eastAsia="Times New Roman" w:hAnsi="Verdana" w:cs="Times New Roman"/>
          <w:color w:val="000000"/>
          <w:lang w:eastAsia="en-PH"/>
        </w:rPr>
        <w:t>Tanod</w:t>
      </w:r>
      <w:proofErr w:type="spellEnd"/>
      <w:r w:rsidRPr="00401611">
        <w:rPr>
          <w:rFonts w:ascii="Verdana" w:eastAsia="Times New Roman" w:hAnsi="Verdana" w:cs="Times New Roman"/>
          <w:color w:val="000000"/>
          <w:lang w:eastAsia="en-PH"/>
        </w:rPr>
        <w:t xml:space="preserve"> of Barangay </w:t>
      </w:r>
      <w:proofErr w:type="spellStart"/>
      <w:r w:rsidRPr="00401611">
        <w:rPr>
          <w:rFonts w:ascii="Verdana" w:eastAsia="Times New Roman" w:hAnsi="Verdana" w:cs="Times New Roman"/>
          <w:color w:val="000000"/>
          <w:lang w:eastAsia="en-PH"/>
        </w:rPr>
        <w:t>Ilayang</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Tayuman</w:t>
      </w:r>
      <w:proofErr w:type="spellEnd"/>
      <w:r w:rsidRPr="00401611">
        <w:rPr>
          <w:rFonts w:ascii="Verdana" w:eastAsia="Times New Roman" w:hAnsi="Verdana" w:cs="Times New Roman"/>
          <w:color w:val="000000"/>
          <w:lang w:eastAsia="en-PH"/>
        </w:rPr>
        <w:t xml:space="preserve">, San Francisco, Quezon, another member of the search party; (5) </w:t>
      </w:r>
      <w:proofErr w:type="spellStart"/>
      <w:r w:rsidRPr="00401611">
        <w:rPr>
          <w:rFonts w:ascii="Verdana" w:eastAsia="Times New Roman" w:hAnsi="Verdana" w:cs="Times New Roman"/>
          <w:color w:val="000000"/>
          <w:lang w:eastAsia="en-PH"/>
        </w:rPr>
        <w:t>Bayani</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Samadan</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Kagawad</w:t>
      </w:r>
      <w:proofErr w:type="spellEnd"/>
      <w:r w:rsidRPr="00401611">
        <w:rPr>
          <w:rFonts w:ascii="Verdana" w:eastAsia="Times New Roman" w:hAnsi="Verdana" w:cs="Times New Roman"/>
          <w:color w:val="000000"/>
          <w:lang w:eastAsia="en-PH"/>
        </w:rPr>
        <w:t xml:space="preserve"> of the Barangay, also a member of the search party; (6) Rodolfo Rosales, police investigator of San Francisco, Quezon, Philippine National Police; (7) </w:t>
      </w:r>
      <w:proofErr w:type="spellStart"/>
      <w:r w:rsidRPr="00401611">
        <w:rPr>
          <w:rFonts w:ascii="Verdana" w:eastAsia="Times New Roman" w:hAnsi="Verdana" w:cs="Times New Roman"/>
          <w:color w:val="000000"/>
          <w:lang w:eastAsia="en-PH"/>
        </w:rPr>
        <w:t>Dr.</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Araceli</w:t>
      </w:r>
      <w:proofErr w:type="spellEnd"/>
      <w:r w:rsidRPr="00401611">
        <w:rPr>
          <w:rFonts w:ascii="Verdana" w:eastAsia="Times New Roman" w:hAnsi="Verdana" w:cs="Times New Roman"/>
          <w:color w:val="000000"/>
          <w:lang w:eastAsia="en-PH"/>
        </w:rPr>
        <w:t xml:space="preserve"> R. </w:t>
      </w:r>
      <w:proofErr w:type="spellStart"/>
      <w:r w:rsidRPr="00401611">
        <w:rPr>
          <w:rFonts w:ascii="Verdana" w:eastAsia="Times New Roman" w:hAnsi="Verdana" w:cs="Times New Roman"/>
          <w:color w:val="000000"/>
          <w:lang w:eastAsia="en-PH"/>
        </w:rPr>
        <w:t>Madatu</w:t>
      </w:r>
      <w:proofErr w:type="spellEnd"/>
      <w:r w:rsidRPr="00401611">
        <w:rPr>
          <w:rFonts w:ascii="Verdana" w:eastAsia="Times New Roman" w:hAnsi="Verdana" w:cs="Times New Roman"/>
          <w:color w:val="000000"/>
          <w:lang w:eastAsia="en-PH"/>
        </w:rPr>
        <w:t xml:space="preserve">, Senior Resident Physician of </w:t>
      </w:r>
      <w:proofErr w:type="spellStart"/>
      <w:r w:rsidRPr="00401611">
        <w:rPr>
          <w:rFonts w:ascii="Verdana" w:eastAsia="Times New Roman" w:hAnsi="Verdana" w:cs="Times New Roman"/>
          <w:color w:val="000000"/>
          <w:lang w:eastAsia="en-PH"/>
        </w:rPr>
        <w:t>Bondoc</w:t>
      </w:r>
      <w:proofErr w:type="spellEnd"/>
      <w:r w:rsidRPr="00401611">
        <w:rPr>
          <w:rFonts w:ascii="Verdana" w:eastAsia="Times New Roman" w:hAnsi="Verdana" w:cs="Times New Roman"/>
          <w:color w:val="000000"/>
          <w:lang w:eastAsia="en-PH"/>
        </w:rPr>
        <w:t xml:space="preserve"> Peninsula District Hospital, </w:t>
      </w:r>
      <w:proofErr w:type="spellStart"/>
      <w:r w:rsidRPr="00401611">
        <w:rPr>
          <w:rFonts w:ascii="Verdana" w:eastAsia="Times New Roman" w:hAnsi="Verdana" w:cs="Times New Roman"/>
          <w:color w:val="000000"/>
          <w:lang w:eastAsia="en-PH"/>
        </w:rPr>
        <w:t>Catanauan</w:t>
      </w:r>
      <w:proofErr w:type="spellEnd"/>
      <w:r w:rsidRPr="00401611">
        <w:rPr>
          <w:rFonts w:ascii="Verdana" w:eastAsia="Times New Roman" w:hAnsi="Verdana" w:cs="Times New Roman"/>
          <w:color w:val="000000"/>
          <w:lang w:eastAsia="en-PH"/>
        </w:rPr>
        <w:t>, Quezon, who testified that when the cadaver was brought for examination, it was in cadaveric rigidity, the legs were spread like a woman about to give birth ("</w:t>
      </w:r>
      <w:proofErr w:type="spellStart"/>
      <w:r w:rsidRPr="00401611">
        <w:rPr>
          <w:rFonts w:ascii="Verdana" w:eastAsia="Times New Roman" w:hAnsi="Verdana" w:cs="Times New Roman"/>
          <w:color w:val="000000"/>
          <w:lang w:eastAsia="en-PH"/>
        </w:rPr>
        <w:t>parang</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nanganganak</w:t>
      </w:r>
      <w:proofErr w:type="spellEnd"/>
      <w:r w:rsidRPr="00401611">
        <w:rPr>
          <w:rFonts w:ascii="Verdana" w:eastAsia="Times New Roman" w:hAnsi="Verdana" w:cs="Times New Roman"/>
          <w:color w:val="000000"/>
          <w:lang w:eastAsia="en-PH"/>
        </w:rPr>
        <w:t>"), the tongue sticking out ("</w:t>
      </w:r>
      <w:proofErr w:type="spellStart"/>
      <w:r w:rsidRPr="00401611">
        <w:rPr>
          <w:rFonts w:ascii="Verdana" w:eastAsia="Times New Roman" w:hAnsi="Verdana" w:cs="Times New Roman"/>
          <w:color w:val="000000"/>
          <w:lang w:eastAsia="en-PH"/>
        </w:rPr>
        <w:t>nakalawit</w:t>
      </w:r>
      <w:proofErr w:type="spellEnd"/>
      <w:r w:rsidRPr="00401611">
        <w:rPr>
          <w:rFonts w:ascii="Verdana" w:eastAsia="Times New Roman" w:hAnsi="Verdana" w:cs="Times New Roman"/>
          <w:color w:val="000000"/>
          <w:lang w:eastAsia="en-PH"/>
        </w:rPr>
        <w:t>), the skull crushed ("</w:t>
      </w:r>
      <w:proofErr w:type="spellStart"/>
      <w:r w:rsidRPr="00401611">
        <w:rPr>
          <w:rFonts w:ascii="Verdana" w:eastAsia="Times New Roman" w:hAnsi="Verdana" w:cs="Times New Roman"/>
          <w:color w:val="000000"/>
          <w:lang w:eastAsia="en-PH"/>
        </w:rPr>
        <w:t>basag</w:t>
      </w:r>
      <w:proofErr w:type="spellEnd"/>
      <w:r w:rsidRPr="00401611">
        <w:rPr>
          <w:rFonts w:ascii="Verdana" w:eastAsia="Times New Roman" w:hAnsi="Verdana" w:cs="Times New Roman"/>
          <w:color w:val="000000"/>
          <w:lang w:eastAsia="en-PH"/>
        </w:rPr>
        <w:t>"), and the pubic area had blisters resulting from cigarette burns, ("</w:t>
      </w:r>
      <w:proofErr w:type="spellStart"/>
      <w:r w:rsidRPr="00401611">
        <w:rPr>
          <w:rFonts w:ascii="Verdana" w:eastAsia="Times New Roman" w:hAnsi="Verdana" w:cs="Times New Roman"/>
          <w:color w:val="000000"/>
          <w:lang w:eastAsia="en-PH"/>
        </w:rPr>
        <w:t>pinagpapaso</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ng</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sigarilyo</w:t>
      </w:r>
      <w:proofErr w:type="spellEnd"/>
      <w:r w:rsidRPr="00401611">
        <w:rPr>
          <w:rFonts w:ascii="Verdana" w:eastAsia="Times New Roman" w:hAnsi="Verdana" w:cs="Times New Roman"/>
          <w:color w:val="000000"/>
          <w:lang w:eastAsia="en-PH"/>
        </w:rPr>
        <w:t>"), and the vagina had a laceration up to the anus, evidencing that the child was raped.</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5"/>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 xml:space="preserve">In addition to the oral evidence, the prosecution offered as documentary evidence the sworn statements of Barangay Captain </w:t>
      </w:r>
      <w:proofErr w:type="spellStart"/>
      <w:r w:rsidRPr="00401611">
        <w:rPr>
          <w:rFonts w:ascii="Verdana" w:eastAsia="Times New Roman" w:hAnsi="Verdana" w:cs="Times New Roman"/>
          <w:color w:val="000000"/>
          <w:lang w:eastAsia="en-PH"/>
        </w:rPr>
        <w:t>Aristeo</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Allarey</w:t>
      </w:r>
      <w:proofErr w:type="spellEnd"/>
      <w:r w:rsidRPr="00401611">
        <w:rPr>
          <w:rFonts w:ascii="Verdana" w:eastAsia="Times New Roman" w:hAnsi="Verdana" w:cs="Times New Roman"/>
          <w:color w:val="000000"/>
          <w:lang w:eastAsia="en-PH"/>
        </w:rPr>
        <w:t xml:space="preserve"> and Gonzalo de la Cruz, the Criminal Complaints filed with the Municipal Trial Court of San </w:t>
      </w:r>
      <w:r w:rsidRPr="00401611">
        <w:rPr>
          <w:rFonts w:ascii="Verdana" w:eastAsia="Times New Roman" w:hAnsi="Verdana" w:cs="Times New Roman"/>
          <w:color w:val="000000"/>
          <w:lang w:eastAsia="en-PH"/>
        </w:rPr>
        <w:lastRenderedPageBreak/>
        <w:t xml:space="preserve">Francisco, San Andres, Quezon, and the Medico-legal Certificate signed by </w:t>
      </w:r>
      <w:proofErr w:type="spellStart"/>
      <w:r w:rsidRPr="00401611">
        <w:rPr>
          <w:rFonts w:ascii="Verdana" w:eastAsia="Times New Roman" w:hAnsi="Verdana" w:cs="Times New Roman"/>
          <w:color w:val="000000"/>
          <w:lang w:eastAsia="en-PH"/>
        </w:rPr>
        <w:t>Dr.</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Madatu</w:t>
      </w:r>
      <w:proofErr w:type="spellEnd"/>
      <w:r w:rsidRPr="00401611">
        <w:rPr>
          <w:rFonts w:ascii="Verdana" w:eastAsia="Times New Roman" w:hAnsi="Verdana" w:cs="Times New Roman"/>
          <w:color w:val="000000"/>
          <w:lang w:eastAsia="en-PH"/>
        </w:rPr>
        <w:t>.</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 xml:space="preserve">On the other hand, the </w:t>
      </w:r>
      <w:proofErr w:type="spellStart"/>
      <w:r w:rsidRPr="00401611">
        <w:rPr>
          <w:rFonts w:ascii="Verdana" w:eastAsia="Times New Roman" w:hAnsi="Verdana" w:cs="Times New Roman"/>
          <w:color w:val="000000"/>
          <w:lang w:eastAsia="en-PH"/>
        </w:rPr>
        <w:t>defense</w:t>
      </w:r>
      <w:proofErr w:type="spellEnd"/>
      <w:r w:rsidRPr="00401611">
        <w:rPr>
          <w:rFonts w:ascii="Verdana" w:eastAsia="Times New Roman" w:hAnsi="Verdana" w:cs="Times New Roman"/>
          <w:color w:val="000000"/>
          <w:lang w:eastAsia="en-PH"/>
        </w:rPr>
        <w:t xml:space="preserve"> presented as its witnesses (1) appellant himself who bluntly denied any participation in the rape/killing of the victim, or that he made any confessions to the barangay captain; he interposed the </w:t>
      </w:r>
      <w:proofErr w:type="spellStart"/>
      <w:r w:rsidRPr="00401611">
        <w:rPr>
          <w:rFonts w:ascii="Verdana" w:eastAsia="Times New Roman" w:hAnsi="Verdana" w:cs="Times New Roman"/>
          <w:color w:val="000000"/>
          <w:lang w:eastAsia="en-PH"/>
        </w:rPr>
        <w:t>defense</w:t>
      </w:r>
      <w:proofErr w:type="spellEnd"/>
      <w:r w:rsidRPr="00401611">
        <w:rPr>
          <w:rFonts w:ascii="Verdana" w:eastAsia="Times New Roman" w:hAnsi="Verdana" w:cs="Times New Roman"/>
          <w:color w:val="000000"/>
          <w:lang w:eastAsia="en-PH"/>
        </w:rPr>
        <w:t xml:space="preserve"> of alibi that at the time of the alleged rape/killing, he was at his house in Barangay </w:t>
      </w:r>
      <w:proofErr w:type="spellStart"/>
      <w:r w:rsidRPr="00401611">
        <w:rPr>
          <w:rFonts w:ascii="Verdana" w:eastAsia="Times New Roman" w:hAnsi="Verdana" w:cs="Times New Roman"/>
          <w:color w:val="000000"/>
          <w:lang w:eastAsia="en-PH"/>
        </w:rPr>
        <w:t>Ilayang</w:t>
      </w:r>
      <w:proofErr w:type="spell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Tayuman</w:t>
      </w:r>
      <w:proofErr w:type="spellEnd"/>
      <w:r w:rsidRPr="00401611">
        <w:rPr>
          <w:rFonts w:ascii="Verdana" w:eastAsia="Times New Roman" w:hAnsi="Verdana" w:cs="Times New Roman"/>
          <w:color w:val="000000"/>
          <w:lang w:eastAsia="en-PH"/>
        </w:rPr>
        <w:t>, San Francisco, Quezon together with his wife, their child and his brother, caring for his sick child,</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6"/>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and (2) his father Emilio Valla, who corroborated his story.</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7"/>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xml:space="preserve"> The </w:t>
      </w:r>
      <w:proofErr w:type="spellStart"/>
      <w:r w:rsidRPr="00401611">
        <w:rPr>
          <w:rFonts w:ascii="Verdana" w:eastAsia="Times New Roman" w:hAnsi="Verdana" w:cs="Times New Roman"/>
          <w:color w:val="000000"/>
          <w:lang w:eastAsia="en-PH"/>
        </w:rPr>
        <w:t>defense</w:t>
      </w:r>
      <w:proofErr w:type="spellEnd"/>
      <w:r w:rsidRPr="00401611">
        <w:rPr>
          <w:rFonts w:ascii="Verdana" w:eastAsia="Times New Roman" w:hAnsi="Verdana" w:cs="Times New Roman"/>
          <w:color w:val="000000"/>
          <w:lang w:eastAsia="en-PH"/>
        </w:rPr>
        <w:t xml:space="preserve"> offered no documentary evidence.</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 xml:space="preserve">On March 29, 1993, the trial court rendered a </w:t>
      </w:r>
      <w:proofErr w:type="gramStart"/>
      <w:r w:rsidRPr="00401611">
        <w:rPr>
          <w:rFonts w:ascii="Verdana" w:eastAsia="Times New Roman" w:hAnsi="Verdana" w:cs="Times New Roman"/>
          <w:color w:val="000000"/>
          <w:lang w:eastAsia="en-PH"/>
        </w:rPr>
        <w:t>decision</w:t>
      </w:r>
      <w:r w:rsidR="008F7739">
        <w:rPr>
          <w:rFonts w:ascii="Verdana" w:eastAsia="Times New Roman" w:hAnsi="Verdana" w:cs="Times New Roman"/>
          <w:color w:val="FF0000"/>
          <w:vertAlign w:val="superscript"/>
          <w:lang w:eastAsia="en-PH"/>
        </w:rPr>
        <w:t>[</w:t>
      </w:r>
      <w:proofErr w:type="gramEnd"/>
      <w:r w:rsidR="008F7739">
        <w:rPr>
          <w:rStyle w:val="FootnoteReference"/>
          <w:rFonts w:ascii="Verdana" w:eastAsia="Times New Roman" w:hAnsi="Verdana" w:cs="Times New Roman"/>
          <w:color w:val="FF0000"/>
          <w:lang w:eastAsia="en-PH"/>
        </w:rPr>
        <w:footnoteReference w:id="8"/>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finding appellant guilty of the crime of "rape with homicide," the dispositive portion of which reads:</w:t>
      </w:r>
    </w:p>
    <w:p w:rsidR="00F87954" w:rsidRPr="00401611" w:rsidRDefault="00F87954" w:rsidP="00401611">
      <w:pPr>
        <w:spacing w:after="0" w:line="240" w:lineRule="auto"/>
        <w:rPr>
          <w:rFonts w:ascii="Verdana" w:eastAsia="Times New Roman" w:hAnsi="Verdana" w:cs="Times New Roman"/>
          <w:color w:val="000000"/>
          <w:lang w:eastAsia="en-PH"/>
        </w:rPr>
      </w:pPr>
    </w:p>
    <w:p w:rsidR="00401611" w:rsidRPr="008F7739" w:rsidRDefault="00401611" w:rsidP="008F7739">
      <w:pPr>
        <w:spacing w:after="0" w:line="240" w:lineRule="auto"/>
        <w:ind w:left="720"/>
        <w:rPr>
          <w:rFonts w:eastAsia="Times New Roman" w:cstheme="minorHAnsi"/>
          <w:color w:val="000000"/>
          <w:lang w:eastAsia="en-PH"/>
        </w:rPr>
      </w:pPr>
      <w:r w:rsidRPr="00401611">
        <w:rPr>
          <w:rFonts w:eastAsia="Times New Roman" w:cstheme="minorHAnsi"/>
          <w:color w:val="000000"/>
          <w:lang w:eastAsia="en-PH"/>
        </w:rPr>
        <w:t xml:space="preserve">"WHEREFORE, premises </w:t>
      </w:r>
      <w:proofErr w:type="gramStart"/>
      <w:r w:rsidRPr="00401611">
        <w:rPr>
          <w:rFonts w:eastAsia="Times New Roman" w:cstheme="minorHAnsi"/>
          <w:color w:val="000000"/>
          <w:lang w:eastAsia="en-PH"/>
        </w:rPr>
        <w:t>considered,</w:t>
      </w:r>
      <w:proofErr w:type="gramEnd"/>
      <w:r w:rsidRPr="00401611">
        <w:rPr>
          <w:rFonts w:eastAsia="Times New Roman" w:cstheme="minorHAnsi"/>
          <w:color w:val="000000"/>
          <w:lang w:eastAsia="en-PH"/>
        </w:rPr>
        <w:t xml:space="preserve"> the fact that the government has proved beyond an iota of a doubt that the accused is guilty, sentences him to suffer an imprisonment of RECLUSION PERPETUA.</w:t>
      </w:r>
      <w:r w:rsidRPr="00401611">
        <w:rPr>
          <w:rFonts w:eastAsia="Times New Roman" w:cstheme="minorHAnsi"/>
          <w:color w:val="000000"/>
          <w:lang w:eastAsia="en-PH"/>
        </w:rPr>
        <w:br/>
      </w:r>
      <w:r w:rsidRPr="00401611">
        <w:rPr>
          <w:rFonts w:eastAsia="Times New Roman" w:cstheme="minorHAnsi"/>
          <w:color w:val="000000"/>
          <w:lang w:eastAsia="en-PH"/>
        </w:rPr>
        <w:br/>
        <w:t xml:space="preserve">"Further the accused is ordered to indemnify the heirs of the late </w:t>
      </w:r>
      <w:proofErr w:type="spellStart"/>
      <w:r w:rsidRPr="00401611">
        <w:rPr>
          <w:rFonts w:eastAsia="Times New Roman" w:cstheme="minorHAnsi"/>
          <w:color w:val="000000"/>
          <w:lang w:eastAsia="en-PH"/>
        </w:rPr>
        <w:t>Dyesebel</w:t>
      </w:r>
      <w:proofErr w:type="spellEnd"/>
      <w:r w:rsidRPr="00401611">
        <w:rPr>
          <w:rFonts w:eastAsia="Times New Roman" w:cstheme="minorHAnsi"/>
          <w:color w:val="000000"/>
          <w:lang w:eastAsia="en-PH"/>
        </w:rPr>
        <w:t xml:space="preserve"> de la Cruz the sum of P50</w:t>
      </w:r>
      <w:proofErr w:type="gramStart"/>
      <w:r w:rsidRPr="00401611">
        <w:rPr>
          <w:rFonts w:eastAsia="Times New Roman" w:cstheme="minorHAnsi"/>
          <w:color w:val="000000"/>
          <w:lang w:eastAsia="en-PH"/>
        </w:rPr>
        <w:t>,000.00</w:t>
      </w:r>
      <w:proofErr w:type="gramEnd"/>
      <w:r w:rsidRPr="00401611">
        <w:rPr>
          <w:rFonts w:eastAsia="Times New Roman" w:cstheme="minorHAnsi"/>
          <w:color w:val="000000"/>
          <w:lang w:eastAsia="en-PH"/>
        </w:rPr>
        <w:t xml:space="preserve"> for her death and P30,000.00 for actual and moral damages.</w:t>
      </w:r>
      <w:r w:rsidRPr="00401611">
        <w:rPr>
          <w:rFonts w:eastAsia="Times New Roman" w:cstheme="minorHAnsi"/>
          <w:color w:val="000000"/>
          <w:lang w:eastAsia="en-PH"/>
        </w:rPr>
        <w:br/>
      </w:r>
      <w:r w:rsidRPr="00401611">
        <w:rPr>
          <w:rFonts w:eastAsia="Times New Roman" w:cstheme="minorHAnsi"/>
          <w:color w:val="000000"/>
          <w:lang w:eastAsia="en-PH"/>
        </w:rPr>
        <w:br/>
      </w:r>
      <w:proofErr w:type="gramStart"/>
      <w:r w:rsidRPr="00401611">
        <w:rPr>
          <w:rFonts w:eastAsia="Times New Roman" w:cstheme="minorHAnsi"/>
          <w:color w:val="000000"/>
          <w:lang w:eastAsia="en-PH"/>
        </w:rPr>
        <w:t>"SO ORDERED."</w:t>
      </w:r>
      <w:proofErr w:type="gramEnd"/>
    </w:p>
    <w:p w:rsidR="008F7739" w:rsidRPr="00401611" w:rsidRDefault="008F7739" w:rsidP="00401611">
      <w:pPr>
        <w:spacing w:after="0" w:line="240" w:lineRule="auto"/>
        <w:rPr>
          <w:rFonts w:ascii="Verdana" w:eastAsia="Times New Roman" w:hAnsi="Verdana" w:cs="Times New Roman"/>
          <w:color w:val="000000"/>
          <w:lang w:eastAsia="en-PH"/>
        </w:rPr>
      </w:pPr>
    </w:p>
    <w:p w:rsidR="00401611" w:rsidRPr="00401611" w:rsidRDefault="00401611" w:rsidP="00401611">
      <w:pPr>
        <w:spacing w:after="0" w:line="240" w:lineRule="auto"/>
        <w:rPr>
          <w:rFonts w:ascii="Verdana" w:eastAsia="Times New Roman" w:hAnsi="Verdana" w:cs="Times New Roman"/>
          <w:color w:val="000000"/>
          <w:lang w:eastAsia="en-PH"/>
        </w:rPr>
      </w:pPr>
      <w:r w:rsidRPr="00401611">
        <w:rPr>
          <w:rFonts w:ascii="Verdana" w:eastAsia="Times New Roman" w:hAnsi="Verdana" w:cs="Times New Roman"/>
          <w:color w:val="000000"/>
          <w:lang w:eastAsia="en-PH"/>
        </w:rPr>
        <w:t>Hence, the present appeal. Appellant assigns the following errors:</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9"/>
      </w:r>
      <w:r w:rsidR="008F7739" w:rsidRPr="00401611">
        <w:rPr>
          <w:rFonts w:ascii="Verdana" w:eastAsia="Times New Roman" w:hAnsi="Verdana" w:cs="Times New Roman"/>
          <w:color w:val="FF0000"/>
          <w:vertAlign w:val="superscript"/>
          <w:lang w:eastAsia="en-PH"/>
        </w:rPr>
        <w:t>]</w:t>
      </w:r>
    </w:p>
    <w:p w:rsidR="00401611" w:rsidRPr="00401611" w:rsidRDefault="00401611" w:rsidP="00401611">
      <w:pPr>
        <w:numPr>
          <w:ilvl w:val="0"/>
          <w:numId w:val="1"/>
        </w:numPr>
        <w:spacing w:before="100" w:beforeAutospacing="1" w:after="240" w:line="240" w:lineRule="auto"/>
        <w:rPr>
          <w:rFonts w:ascii="Verdana" w:eastAsia="Times New Roman" w:hAnsi="Verdana" w:cs="Times New Roman"/>
          <w:color w:val="000000"/>
          <w:lang w:eastAsia="en-PH"/>
        </w:rPr>
      </w:pPr>
      <w:r w:rsidRPr="00401611">
        <w:rPr>
          <w:rFonts w:ascii="Verdana" w:eastAsia="Times New Roman" w:hAnsi="Verdana" w:cs="Times New Roman"/>
          <w:color w:val="000000"/>
          <w:lang w:eastAsia="en-PH"/>
        </w:rPr>
        <w:t>THE TRIAL COURT ERRED IN GIVING FULL WEIGHT AND CREDENCE TO THE CONFLICTING AND IMPROBABLE TESTIMONIES OF THE PROSECUTION WITNESSES.</w:t>
      </w:r>
    </w:p>
    <w:p w:rsidR="00401611" w:rsidRPr="00401611" w:rsidRDefault="00401611" w:rsidP="00401611">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401611">
        <w:rPr>
          <w:rFonts w:ascii="Verdana" w:eastAsia="Times New Roman" w:hAnsi="Verdana" w:cs="Times New Roman"/>
          <w:color w:val="000000"/>
          <w:lang w:eastAsia="en-PH"/>
        </w:rPr>
        <w:t>THE TRIAL COURT ERRED IN FINDING THE ACCUSED GUILTY BEYOND REASONABLE DOUBT DESPITE INSUFFICIENCY OF EVIDENCE TO PROVE HIS GUILT BEYOND REASONABLE DOUBT.</w:t>
      </w:r>
    </w:p>
    <w:p w:rsidR="00401611" w:rsidRPr="00401611" w:rsidRDefault="00401611" w:rsidP="00401611">
      <w:pPr>
        <w:spacing w:after="240" w:line="240" w:lineRule="auto"/>
        <w:rPr>
          <w:rFonts w:ascii="Verdana" w:eastAsia="Times New Roman" w:hAnsi="Verdana" w:cs="Times New Roman"/>
          <w:color w:val="000000"/>
          <w:lang w:eastAsia="en-PH"/>
        </w:rPr>
      </w:pPr>
      <w:r w:rsidRPr="00401611">
        <w:rPr>
          <w:rFonts w:ascii="Verdana" w:eastAsia="Times New Roman" w:hAnsi="Verdana" w:cs="Times New Roman"/>
          <w:color w:val="000000"/>
          <w:lang w:eastAsia="en-PH"/>
        </w:rPr>
        <w:t xml:space="preserve">In his brief, appellant claims that the testimony of prosecution witness </w:t>
      </w:r>
      <w:proofErr w:type="spellStart"/>
      <w:r w:rsidRPr="00401611">
        <w:rPr>
          <w:rFonts w:ascii="Verdana" w:eastAsia="Times New Roman" w:hAnsi="Verdana" w:cs="Times New Roman"/>
          <w:color w:val="000000"/>
          <w:lang w:eastAsia="en-PH"/>
        </w:rPr>
        <w:t>Allarey</w:t>
      </w:r>
      <w:proofErr w:type="spellEnd"/>
      <w:r w:rsidRPr="00401611">
        <w:rPr>
          <w:rFonts w:ascii="Verdana" w:eastAsia="Times New Roman" w:hAnsi="Verdana" w:cs="Times New Roman"/>
          <w:color w:val="000000"/>
          <w:lang w:eastAsia="en-PH"/>
        </w:rPr>
        <w:t xml:space="preserve"> was inconsistent since on direct examination, </w:t>
      </w:r>
      <w:proofErr w:type="spellStart"/>
      <w:r w:rsidRPr="00401611">
        <w:rPr>
          <w:rFonts w:ascii="Verdana" w:eastAsia="Times New Roman" w:hAnsi="Verdana" w:cs="Times New Roman"/>
          <w:color w:val="000000"/>
          <w:lang w:eastAsia="en-PH"/>
        </w:rPr>
        <w:t>Allarey</w:t>
      </w:r>
      <w:proofErr w:type="spellEnd"/>
      <w:r w:rsidRPr="00401611">
        <w:rPr>
          <w:rFonts w:ascii="Verdana" w:eastAsia="Times New Roman" w:hAnsi="Verdana" w:cs="Times New Roman"/>
          <w:color w:val="000000"/>
          <w:lang w:eastAsia="en-PH"/>
        </w:rPr>
        <w:t xml:space="preserve"> narrated that when he summoned appellant, the latter did not immediately appear,</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10"/>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but on cross-examination, he said that appellant immediately reported to him.</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11"/>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Appellant also contends that Merle’s testimony that appellant was "</w:t>
      </w:r>
      <w:proofErr w:type="spellStart"/>
      <w:r w:rsidRPr="00401611">
        <w:rPr>
          <w:rFonts w:ascii="Verdana" w:eastAsia="Times New Roman" w:hAnsi="Verdana" w:cs="Times New Roman"/>
          <w:color w:val="000000"/>
          <w:lang w:eastAsia="en-PH"/>
        </w:rPr>
        <w:t>tulala</w:t>
      </w:r>
      <w:proofErr w:type="spellEnd"/>
      <w:r w:rsidRPr="00401611">
        <w:rPr>
          <w:rFonts w:ascii="Verdana" w:eastAsia="Times New Roman" w:hAnsi="Verdana" w:cs="Times New Roman"/>
          <w:color w:val="000000"/>
          <w:lang w:eastAsia="en-PH"/>
        </w:rPr>
        <w:t xml:space="preserve">" at the time he confessed to the commission of the </w:t>
      </w:r>
      <w:proofErr w:type="gramStart"/>
      <w:r w:rsidRPr="00401611">
        <w:rPr>
          <w:rFonts w:ascii="Verdana" w:eastAsia="Times New Roman" w:hAnsi="Verdana" w:cs="Times New Roman"/>
          <w:color w:val="000000"/>
          <w:lang w:eastAsia="en-PH"/>
        </w:rPr>
        <w:t>crime</w:t>
      </w:r>
      <w:r w:rsidR="008F7739">
        <w:rPr>
          <w:rFonts w:ascii="Verdana" w:eastAsia="Times New Roman" w:hAnsi="Verdana" w:cs="Times New Roman"/>
          <w:color w:val="FF0000"/>
          <w:vertAlign w:val="superscript"/>
          <w:lang w:eastAsia="en-PH"/>
        </w:rPr>
        <w:t>[</w:t>
      </w:r>
      <w:proofErr w:type="gramEnd"/>
      <w:r w:rsidR="008F7739">
        <w:rPr>
          <w:rStyle w:val="FootnoteReference"/>
          <w:rFonts w:ascii="Verdana" w:eastAsia="Times New Roman" w:hAnsi="Verdana" w:cs="Times New Roman"/>
          <w:color w:val="FF0000"/>
          <w:lang w:eastAsia="en-PH"/>
        </w:rPr>
        <w:footnoteReference w:id="12"/>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was inconsistent with appellant’s alleged begging for forgiveness for the crime.</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13"/>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xml:space="preserve"> Further, appellant adds that his statement offering to exchange his own daughter for the victim was made because of compulsion from the crowd. Appellant further insists that his alibi should be given due consideration since the prosecution failed to overturn his </w:t>
      </w:r>
      <w:r w:rsidRPr="00401611">
        <w:rPr>
          <w:rFonts w:ascii="Verdana" w:eastAsia="Times New Roman" w:hAnsi="Verdana" w:cs="Times New Roman"/>
          <w:color w:val="000000"/>
          <w:lang w:eastAsia="en-PH"/>
        </w:rPr>
        <w:lastRenderedPageBreak/>
        <w:t>alibi which was duly corroborated by the testimony of his father.</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The Office of the Solicitor General, on the other hand, recommends affirmance of the judgment </w:t>
      </w:r>
      <w:r w:rsidRPr="00401611">
        <w:rPr>
          <w:rFonts w:ascii="Verdana" w:eastAsia="Times New Roman" w:hAnsi="Verdana" w:cs="Times New Roman"/>
          <w:i/>
          <w:iCs/>
          <w:color w:val="000000"/>
          <w:lang w:eastAsia="en-PH"/>
        </w:rPr>
        <w:t xml:space="preserve">in </w:t>
      </w:r>
      <w:proofErr w:type="spellStart"/>
      <w:r w:rsidRPr="00401611">
        <w:rPr>
          <w:rFonts w:ascii="Verdana" w:eastAsia="Times New Roman" w:hAnsi="Verdana" w:cs="Times New Roman"/>
          <w:i/>
          <w:iCs/>
          <w:color w:val="000000"/>
          <w:lang w:eastAsia="en-PH"/>
        </w:rPr>
        <w:t>toto</w:t>
      </w:r>
      <w:proofErr w:type="spellEnd"/>
      <w:r w:rsidRPr="00401611">
        <w:rPr>
          <w:rFonts w:ascii="Verdana" w:eastAsia="Times New Roman" w:hAnsi="Verdana" w:cs="Times New Roman"/>
          <w:color w:val="000000"/>
          <w:lang w:eastAsia="en-PH"/>
        </w:rPr>
        <w:t xml:space="preserve">. The OSG contends that the alleged inconsistencies, assuming them to be so, are too minor and insignificant to destroy the credibility of said prosecution witnesses, particularly where the testimonies of all the prosecution witnesses are consistent and compatible with each other on material points. Anent the </w:t>
      </w:r>
      <w:proofErr w:type="spellStart"/>
      <w:r w:rsidRPr="00401611">
        <w:rPr>
          <w:rFonts w:ascii="Verdana" w:eastAsia="Times New Roman" w:hAnsi="Verdana" w:cs="Times New Roman"/>
          <w:color w:val="000000"/>
          <w:lang w:eastAsia="en-PH"/>
        </w:rPr>
        <w:t>defense</w:t>
      </w:r>
      <w:proofErr w:type="spellEnd"/>
      <w:r w:rsidRPr="00401611">
        <w:rPr>
          <w:rFonts w:ascii="Verdana" w:eastAsia="Times New Roman" w:hAnsi="Verdana" w:cs="Times New Roman"/>
          <w:color w:val="000000"/>
          <w:lang w:eastAsia="en-PH"/>
        </w:rPr>
        <w:t xml:space="preserve"> of alibi, the OSG points out that appellant’s house is located within the same barangay where the incident took place, therefore there is no physical impossibility regarding his commission of the crime.</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 xml:space="preserve">In sum, </w:t>
      </w:r>
      <w:r w:rsidRPr="00401611">
        <w:rPr>
          <w:rFonts w:ascii="Verdana" w:eastAsia="Times New Roman" w:hAnsi="Verdana" w:cs="Times New Roman"/>
          <w:color w:val="000000"/>
          <w:highlight w:val="yellow"/>
          <w:lang w:eastAsia="en-PH"/>
        </w:rPr>
        <w:t xml:space="preserve">the crucial issue </w:t>
      </w:r>
      <w:proofErr w:type="spellStart"/>
      <w:r w:rsidRPr="00401611">
        <w:rPr>
          <w:rFonts w:ascii="Verdana" w:eastAsia="Times New Roman" w:hAnsi="Verdana" w:cs="Times New Roman"/>
          <w:color w:val="000000"/>
          <w:highlight w:val="yellow"/>
          <w:lang w:eastAsia="en-PH"/>
        </w:rPr>
        <w:t>centers</w:t>
      </w:r>
      <w:proofErr w:type="spellEnd"/>
      <w:r w:rsidRPr="00401611">
        <w:rPr>
          <w:rFonts w:ascii="Verdana" w:eastAsia="Times New Roman" w:hAnsi="Verdana" w:cs="Times New Roman"/>
          <w:color w:val="000000"/>
          <w:highlight w:val="yellow"/>
          <w:lang w:eastAsia="en-PH"/>
        </w:rPr>
        <w:t xml:space="preserve"> on the assessment of credibility of the witnesses. In this case, the trial court gave full faith and credence to the testimonies of the prosecution witnesses. We find no reason to disturb this finding. As consistently held by the Court, the trial judge’s evaluation of the testimony of a witness is generally accorded not only the highest respect, but also finality, unless some weighty circumstance has been ignored or misunderstood but which could change the result. Having had the direct opportunity to observe the witness on the stand, the trial judge was in a vantage position to assess his </w:t>
      </w:r>
      <w:proofErr w:type="spellStart"/>
      <w:r w:rsidRPr="00401611">
        <w:rPr>
          <w:rFonts w:ascii="Verdana" w:eastAsia="Times New Roman" w:hAnsi="Verdana" w:cs="Times New Roman"/>
          <w:color w:val="000000"/>
          <w:highlight w:val="yellow"/>
          <w:lang w:eastAsia="en-PH"/>
        </w:rPr>
        <w:t>demeanor</w:t>
      </w:r>
      <w:proofErr w:type="spellEnd"/>
      <w:r w:rsidRPr="00401611">
        <w:rPr>
          <w:rFonts w:ascii="Verdana" w:eastAsia="Times New Roman" w:hAnsi="Verdana" w:cs="Times New Roman"/>
          <w:color w:val="000000"/>
          <w:highlight w:val="yellow"/>
          <w:lang w:eastAsia="en-PH"/>
        </w:rPr>
        <w:t>, and determine if he was telling the truth or not.</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14"/>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highlight w:val="yellow"/>
          <w:lang w:eastAsia="en-PH"/>
        </w:rPr>
        <w:t xml:space="preserve">The alleged inconsistency in the testimony of </w:t>
      </w:r>
      <w:proofErr w:type="spellStart"/>
      <w:r w:rsidRPr="00401611">
        <w:rPr>
          <w:rFonts w:ascii="Verdana" w:eastAsia="Times New Roman" w:hAnsi="Verdana" w:cs="Times New Roman"/>
          <w:color w:val="000000"/>
          <w:highlight w:val="yellow"/>
          <w:lang w:eastAsia="en-PH"/>
        </w:rPr>
        <w:t>Allarey</w:t>
      </w:r>
      <w:proofErr w:type="spellEnd"/>
      <w:r w:rsidRPr="00401611">
        <w:rPr>
          <w:rFonts w:ascii="Verdana" w:eastAsia="Times New Roman" w:hAnsi="Verdana" w:cs="Times New Roman"/>
          <w:color w:val="000000"/>
          <w:highlight w:val="yellow"/>
          <w:lang w:eastAsia="en-PH"/>
        </w:rPr>
        <w:t xml:space="preserve"> as to whether appellant immediately reported to him after being summoned, and in the testimony of Merle that appellant was "</w:t>
      </w:r>
      <w:proofErr w:type="spellStart"/>
      <w:r w:rsidRPr="00401611">
        <w:rPr>
          <w:rFonts w:ascii="Verdana" w:eastAsia="Times New Roman" w:hAnsi="Verdana" w:cs="Times New Roman"/>
          <w:color w:val="000000"/>
          <w:highlight w:val="yellow"/>
          <w:lang w:eastAsia="en-PH"/>
        </w:rPr>
        <w:t>tulala</w:t>
      </w:r>
      <w:proofErr w:type="spellEnd"/>
      <w:r w:rsidRPr="00401611">
        <w:rPr>
          <w:rFonts w:ascii="Verdana" w:eastAsia="Times New Roman" w:hAnsi="Verdana" w:cs="Times New Roman"/>
          <w:color w:val="000000"/>
          <w:highlight w:val="yellow"/>
          <w:lang w:eastAsia="en-PH"/>
        </w:rPr>
        <w:t>" at the time he admitted responsibility for the crime, merely refer to minor details which do not in actuality touch upon the "whys" and "wherefores" of the crime committed.</w:t>
      </w:r>
      <w:r w:rsidR="008F7739" w:rsidRPr="00CB3077">
        <w:rPr>
          <w:rFonts w:ascii="Verdana" w:eastAsia="Times New Roman" w:hAnsi="Verdana" w:cs="Times New Roman"/>
          <w:color w:val="FF0000"/>
          <w:highlight w:val="yellow"/>
          <w:vertAlign w:val="superscript"/>
          <w:lang w:eastAsia="en-PH"/>
        </w:rPr>
        <w:t xml:space="preserve"> </w:t>
      </w:r>
      <w:r w:rsidR="008F7739" w:rsidRPr="00CB3077">
        <w:rPr>
          <w:rFonts w:ascii="Verdana" w:eastAsia="Times New Roman" w:hAnsi="Verdana" w:cs="Times New Roman"/>
          <w:color w:val="FF0000"/>
          <w:highlight w:val="yellow"/>
          <w:vertAlign w:val="superscript"/>
          <w:lang w:eastAsia="en-PH"/>
        </w:rPr>
        <w:t>[</w:t>
      </w:r>
      <w:r w:rsidR="008F7739" w:rsidRPr="00CB3077">
        <w:rPr>
          <w:rStyle w:val="FootnoteReference"/>
          <w:rFonts w:ascii="Verdana" w:eastAsia="Times New Roman" w:hAnsi="Verdana" w:cs="Times New Roman"/>
          <w:color w:val="FF0000"/>
          <w:highlight w:val="yellow"/>
          <w:lang w:eastAsia="en-PH"/>
        </w:rPr>
        <w:footnoteReference w:id="15"/>
      </w:r>
      <w:r w:rsidR="008F7739" w:rsidRPr="00401611">
        <w:rPr>
          <w:rFonts w:ascii="Verdana" w:eastAsia="Times New Roman" w:hAnsi="Verdana" w:cs="Times New Roman"/>
          <w:color w:val="FF0000"/>
          <w:highlight w:val="yellow"/>
          <w:vertAlign w:val="superscript"/>
          <w:lang w:eastAsia="en-PH"/>
        </w:rPr>
        <w:t>]</w:t>
      </w:r>
      <w:r w:rsidRPr="00401611">
        <w:rPr>
          <w:rFonts w:ascii="Verdana" w:eastAsia="Times New Roman" w:hAnsi="Verdana" w:cs="Times New Roman"/>
          <w:color w:val="000000"/>
          <w:highlight w:val="yellow"/>
          <w:lang w:eastAsia="en-PH"/>
        </w:rPr>
        <w:t> Inconsistencies in the testimony of witnesses when referring only to minor details and collateral matters do not affect the substance of their declaration, their veracity, or the weight of their testimony. Although there may be inconsistencies on minor details, the same do not impair the credibility of the witnesses where there is consistency in relating the principal occurrence and positive identification of the assailants.</w:t>
      </w:r>
      <w:r w:rsidR="008F7739" w:rsidRPr="00CB3077">
        <w:rPr>
          <w:rFonts w:ascii="Verdana" w:eastAsia="Times New Roman" w:hAnsi="Verdana" w:cs="Times New Roman"/>
          <w:color w:val="FF0000"/>
          <w:highlight w:val="yellow"/>
          <w:vertAlign w:val="superscript"/>
          <w:lang w:eastAsia="en-PH"/>
        </w:rPr>
        <w:t xml:space="preserve"> </w:t>
      </w:r>
      <w:r w:rsidR="008F7739" w:rsidRPr="00CB3077">
        <w:rPr>
          <w:rFonts w:ascii="Verdana" w:eastAsia="Times New Roman" w:hAnsi="Verdana" w:cs="Times New Roman"/>
          <w:color w:val="FF0000"/>
          <w:highlight w:val="yellow"/>
          <w:vertAlign w:val="superscript"/>
          <w:lang w:eastAsia="en-PH"/>
        </w:rPr>
        <w:t>[</w:t>
      </w:r>
      <w:r w:rsidR="008F7739" w:rsidRPr="00CB3077">
        <w:rPr>
          <w:rStyle w:val="FootnoteReference"/>
          <w:rFonts w:ascii="Verdana" w:eastAsia="Times New Roman" w:hAnsi="Verdana" w:cs="Times New Roman"/>
          <w:color w:val="FF0000"/>
          <w:highlight w:val="yellow"/>
          <w:lang w:eastAsia="en-PH"/>
        </w:rPr>
        <w:footnoteReference w:id="16"/>
      </w:r>
      <w:r w:rsidR="008F7739" w:rsidRPr="00401611">
        <w:rPr>
          <w:rFonts w:ascii="Verdana" w:eastAsia="Times New Roman" w:hAnsi="Verdana" w:cs="Times New Roman"/>
          <w:color w:val="FF0000"/>
          <w:highlight w:val="yellow"/>
          <w:vertAlign w:val="superscript"/>
          <w:lang w:eastAsia="en-PH"/>
        </w:rPr>
        <w:t>]</w:t>
      </w:r>
      <w:r w:rsidRPr="00401611">
        <w:rPr>
          <w:rFonts w:ascii="Verdana" w:eastAsia="Times New Roman" w:hAnsi="Verdana" w:cs="Times New Roman"/>
          <w:color w:val="000000"/>
          <w:highlight w:val="yellow"/>
          <w:lang w:eastAsia="en-PH"/>
        </w:rPr>
        <w:t> In fact, some minor inconsistencies could show that the witness was not previously coached so as to tailor his testimony, and thus they serve as badges of credibility.</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 xml:space="preserve">Further, the prosecution witnesses, particularly the barangay officials, had no motive to falsely testify against appellant, who </w:t>
      </w:r>
      <w:proofErr w:type="gramStart"/>
      <w:r w:rsidRPr="00401611">
        <w:rPr>
          <w:rFonts w:ascii="Verdana" w:eastAsia="Times New Roman" w:hAnsi="Verdana" w:cs="Times New Roman"/>
          <w:color w:val="000000"/>
          <w:lang w:eastAsia="en-PH"/>
        </w:rPr>
        <w:t>is their</w:t>
      </w:r>
      <w:proofErr w:type="gramEnd"/>
      <w:r w:rsidRPr="00401611">
        <w:rPr>
          <w:rFonts w:ascii="Verdana" w:eastAsia="Times New Roman" w:hAnsi="Verdana" w:cs="Times New Roman"/>
          <w:color w:val="000000"/>
          <w:lang w:eastAsia="en-PH"/>
        </w:rPr>
        <w:t xml:space="preserve"> </w:t>
      </w:r>
      <w:proofErr w:type="spellStart"/>
      <w:r w:rsidRPr="00401611">
        <w:rPr>
          <w:rFonts w:ascii="Verdana" w:eastAsia="Times New Roman" w:hAnsi="Verdana" w:cs="Times New Roman"/>
          <w:color w:val="000000"/>
          <w:lang w:eastAsia="en-PH"/>
        </w:rPr>
        <w:t>townmate</w:t>
      </w:r>
      <w:proofErr w:type="spellEnd"/>
      <w:r w:rsidRPr="00401611">
        <w:rPr>
          <w:rFonts w:ascii="Verdana" w:eastAsia="Times New Roman" w:hAnsi="Verdana" w:cs="Times New Roman"/>
          <w:color w:val="000000"/>
          <w:lang w:eastAsia="en-PH"/>
        </w:rPr>
        <w:t xml:space="preserve">, nor did they have any reason to impute such a heinous crime against appellant if it were not true. Appellant’s claim that he was implicated in the crime "because he did not immediately accomplish the cutting of the grass in the </w:t>
      </w:r>
      <w:proofErr w:type="spellStart"/>
      <w:r w:rsidRPr="00401611">
        <w:rPr>
          <w:rFonts w:ascii="Verdana" w:eastAsia="Times New Roman" w:hAnsi="Verdana" w:cs="Times New Roman"/>
          <w:color w:val="000000"/>
          <w:lang w:eastAsia="en-PH"/>
        </w:rPr>
        <w:t>ricefield</w:t>
      </w:r>
      <w:proofErr w:type="spellEnd"/>
      <w:r w:rsidRPr="00401611">
        <w:rPr>
          <w:rFonts w:ascii="Verdana" w:eastAsia="Times New Roman" w:hAnsi="Verdana" w:cs="Times New Roman"/>
          <w:color w:val="000000"/>
          <w:lang w:eastAsia="en-PH"/>
        </w:rPr>
        <w:t>"</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17"/>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is too preposterous to even merit consideration.</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 xml:space="preserve">More importantly, </w:t>
      </w:r>
      <w:r w:rsidRPr="00401611">
        <w:rPr>
          <w:rFonts w:ascii="Verdana" w:eastAsia="Times New Roman" w:hAnsi="Verdana" w:cs="Times New Roman"/>
          <w:color w:val="000000"/>
          <w:highlight w:val="yellow"/>
          <w:lang w:eastAsia="en-PH"/>
        </w:rPr>
        <w:t>the declaration of appellant acknowledging his guilt of the offense may be given in evidence against him under Section 33 of Rule 130 of the Revised Rules of Court. Note that his extrajudicial confession is corroborated by the </w:t>
      </w:r>
      <w:r w:rsidRPr="00401611">
        <w:rPr>
          <w:rFonts w:ascii="Verdana" w:eastAsia="Times New Roman" w:hAnsi="Verdana" w:cs="Times New Roman"/>
          <w:i/>
          <w:iCs/>
          <w:color w:val="000000"/>
          <w:highlight w:val="yellow"/>
          <w:lang w:eastAsia="en-PH"/>
        </w:rPr>
        <w:t xml:space="preserve">corpus </w:t>
      </w:r>
      <w:proofErr w:type="spellStart"/>
      <w:r w:rsidRPr="00401611">
        <w:rPr>
          <w:rFonts w:ascii="Verdana" w:eastAsia="Times New Roman" w:hAnsi="Verdana" w:cs="Times New Roman"/>
          <w:i/>
          <w:iCs/>
          <w:color w:val="000000"/>
          <w:highlight w:val="yellow"/>
          <w:lang w:eastAsia="en-PH"/>
        </w:rPr>
        <w:t>delicti</w:t>
      </w:r>
      <w:proofErr w:type="spellEnd"/>
      <w:r w:rsidRPr="00401611">
        <w:rPr>
          <w:rFonts w:ascii="Verdana" w:eastAsia="Times New Roman" w:hAnsi="Verdana" w:cs="Times New Roman"/>
          <w:color w:val="000000"/>
          <w:highlight w:val="yellow"/>
          <w:lang w:eastAsia="en-PH"/>
        </w:rPr>
        <w:t xml:space="preserve"> as required by Section 3 of Rule 133. The Rules do not </w:t>
      </w:r>
      <w:r w:rsidRPr="00401611">
        <w:rPr>
          <w:rFonts w:ascii="Verdana" w:eastAsia="Times New Roman" w:hAnsi="Verdana" w:cs="Times New Roman"/>
          <w:color w:val="000000"/>
          <w:highlight w:val="yellow"/>
          <w:lang w:eastAsia="en-PH"/>
        </w:rPr>
        <w:lastRenderedPageBreak/>
        <w:t>require that all the elements of the crime must be clearly established by evidence independent of the confession. </w:t>
      </w:r>
      <w:r w:rsidRPr="00401611">
        <w:rPr>
          <w:rFonts w:ascii="Verdana" w:eastAsia="Times New Roman" w:hAnsi="Verdana" w:cs="Times New Roman"/>
          <w:i/>
          <w:iCs/>
          <w:color w:val="000000"/>
          <w:highlight w:val="yellow"/>
          <w:lang w:eastAsia="en-PH"/>
        </w:rPr>
        <w:t xml:space="preserve">Corpus </w:t>
      </w:r>
      <w:proofErr w:type="spellStart"/>
      <w:r w:rsidRPr="00401611">
        <w:rPr>
          <w:rFonts w:ascii="Verdana" w:eastAsia="Times New Roman" w:hAnsi="Verdana" w:cs="Times New Roman"/>
          <w:i/>
          <w:iCs/>
          <w:color w:val="000000"/>
          <w:highlight w:val="yellow"/>
          <w:lang w:eastAsia="en-PH"/>
        </w:rPr>
        <w:t>delicti</w:t>
      </w:r>
      <w:proofErr w:type="spellEnd"/>
      <w:r w:rsidRPr="00401611">
        <w:rPr>
          <w:rFonts w:ascii="Verdana" w:eastAsia="Times New Roman" w:hAnsi="Verdana" w:cs="Times New Roman"/>
          <w:color w:val="000000"/>
          <w:highlight w:val="yellow"/>
          <w:lang w:eastAsia="en-PH"/>
        </w:rPr>
        <w:t> only means that there should be some concrete evidence tending to show the commission of the crime apart from the confession. In this case, the fact of the crime was sufficiently proven through the testimonies by witnesses such as Myra Pines, who heard the cries of the victim, and the other members of the search party who found the body of the victim, and witnessed the confession of the appellant, as well as documentary evidence presented during trial such as the medico-legal certificate (Exhibit "D") attesting that the victim had been raped and killed.</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highlight w:val="yellow"/>
          <w:lang w:eastAsia="en-PH"/>
        </w:rPr>
        <w:t>The statement of the accused asking for forgiveness and even offering his own daughter in exchange for his crime</w:t>
      </w:r>
      <w:r w:rsidR="008F7739" w:rsidRPr="00CB3077">
        <w:rPr>
          <w:rFonts w:ascii="Verdana" w:eastAsia="Times New Roman" w:hAnsi="Verdana" w:cs="Times New Roman"/>
          <w:color w:val="FF0000"/>
          <w:highlight w:val="yellow"/>
          <w:vertAlign w:val="superscript"/>
          <w:lang w:eastAsia="en-PH"/>
        </w:rPr>
        <w:t>[</w:t>
      </w:r>
      <w:r w:rsidR="008F7739" w:rsidRPr="00CB3077">
        <w:rPr>
          <w:rStyle w:val="FootnoteReference"/>
          <w:rFonts w:ascii="Verdana" w:eastAsia="Times New Roman" w:hAnsi="Verdana" w:cs="Times New Roman"/>
          <w:color w:val="FF0000"/>
          <w:highlight w:val="yellow"/>
          <w:lang w:eastAsia="en-PH"/>
        </w:rPr>
        <w:footnoteReference w:id="18"/>
      </w:r>
      <w:r w:rsidR="008F7739" w:rsidRPr="00401611">
        <w:rPr>
          <w:rFonts w:ascii="Verdana" w:eastAsia="Times New Roman" w:hAnsi="Verdana" w:cs="Times New Roman"/>
          <w:color w:val="FF0000"/>
          <w:highlight w:val="yellow"/>
          <w:vertAlign w:val="superscript"/>
          <w:lang w:eastAsia="en-PH"/>
        </w:rPr>
        <w:t>]</w:t>
      </w:r>
      <w:r w:rsidRPr="00401611">
        <w:rPr>
          <w:rFonts w:ascii="Verdana" w:eastAsia="Times New Roman" w:hAnsi="Verdana" w:cs="Times New Roman"/>
          <w:color w:val="000000"/>
          <w:highlight w:val="yellow"/>
          <w:lang w:eastAsia="en-PH"/>
        </w:rPr>
        <w:t> may also be regarded as part of the </w:t>
      </w:r>
      <w:r w:rsidRPr="00401611">
        <w:rPr>
          <w:rFonts w:ascii="Verdana" w:eastAsia="Times New Roman" w:hAnsi="Verdana" w:cs="Times New Roman"/>
          <w:i/>
          <w:iCs/>
          <w:color w:val="000000"/>
          <w:highlight w:val="yellow"/>
          <w:lang w:eastAsia="en-PH"/>
        </w:rPr>
        <w:t xml:space="preserve">res </w:t>
      </w:r>
      <w:proofErr w:type="spellStart"/>
      <w:r w:rsidRPr="00401611">
        <w:rPr>
          <w:rFonts w:ascii="Verdana" w:eastAsia="Times New Roman" w:hAnsi="Verdana" w:cs="Times New Roman"/>
          <w:i/>
          <w:iCs/>
          <w:color w:val="000000"/>
          <w:highlight w:val="yellow"/>
          <w:lang w:eastAsia="en-PH"/>
        </w:rPr>
        <w:t>gestae</w:t>
      </w:r>
      <w:proofErr w:type="spellEnd"/>
      <w:r w:rsidRPr="00401611">
        <w:rPr>
          <w:rFonts w:ascii="Verdana" w:eastAsia="Times New Roman" w:hAnsi="Verdana" w:cs="Times New Roman"/>
          <w:color w:val="000000"/>
          <w:highlight w:val="yellow"/>
          <w:lang w:eastAsia="en-PH"/>
        </w:rPr>
        <w:t xml:space="preserve"> under Section 42 of Rule 130 of the Rules of Court. Res </w:t>
      </w:r>
      <w:proofErr w:type="spellStart"/>
      <w:r w:rsidRPr="00401611">
        <w:rPr>
          <w:rFonts w:ascii="Verdana" w:eastAsia="Times New Roman" w:hAnsi="Verdana" w:cs="Times New Roman"/>
          <w:color w:val="000000"/>
          <w:highlight w:val="yellow"/>
          <w:lang w:eastAsia="en-PH"/>
        </w:rPr>
        <w:t>gestae</w:t>
      </w:r>
      <w:proofErr w:type="spellEnd"/>
      <w:r w:rsidRPr="00401611">
        <w:rPr>
          <w:rFonts w:ascii="Verdana" w:eastAsia="Times New Roman" w:hAnsi="Verdana" w:cs="Times New Roman"/>
          <w:color w:val="000000"/>
          <w:highlight w:val="yellow"/>
          <w:lang w:eastAsia="en-PH"/>
        </w:rPr>
        <w:t xml:space="preserve"> means "things done".</w:t>
      </w:r>
      <w:r w:rsidR="008F7739" w:rsidRPr="00CB3077">
        <w:rPr>
          <w:rFonts w:ascii="Verdana" w:eastAsia="Times New Roman" w:hAnsi="Verdana" w:cs="Times New Roman"/>
          <w:color w:val="FF0000"/>
          <w:highlight w:val="yellow"/>
          <w:vertAlign w:val="superscript"/>
          <w:lang w:eastAsia="en-PH"/>
        </w:rPr>
        <w:t>[</w:t>
      </w:r>
      <w:r w:rsidR="008F7739" w:rsidRPr="00CB3077">
        <w:rPr>
          <w:rStyle w:val="FootnoteReference"/>
          <w:rFonts w:ascii="Verdana" w:eastAsia="Times New Roman" w:hAnsi="Verdana" w:cs="Times New Roman"/>
          <w:color w:val="FF0000"/>
          <w:highlight w:val="yellow"/>
          <w:lang w:eastAsia="en-PH"/>
        </w:rPr>
        <w:footnoteReference w:id="19"/>
      </w:r>
      <w:r w:rsidR="008F7739" w:rsidRPr="00401611">
        <w:rPr>
          <w:rFonts w:ascii="Verdana" w:eastAsia="Times New Roman" w:hAnsi="Verdana" w:cs="Times New Roman"/>
          <w:color w:val="FF0000"/>
          <w:highlight w:val="yellow"/>
          <w:vertAlign w:val="superscript"/>
          <w:lang w:eastAsia="en-PH"/>
        </w:rPr>
        <w:t>]</w:t>
      </w:r>
      <w:r w:rsidRPr="00401611">
        <w:rPr>
          <w:rFonts w:ascii="Verdana" w:eastAsia="Times New Roman" w:hAnsi="Verdana" w:cs="Times New Roman"/>
          <w:color w:val="000000"/>
          <w:highlight w:val="yellow"/>
          <w:lang w:eastAsia="en-PH"/>
        </w:rPr>
        <w:t xml:space="preserve"> There are three requisites to admit evidence as part of the res </w:t>
      </w:r>
      <w:proofErr w:type="spellStart"/>
      <w:r w:rsidRPr="00401611">
        <w:rPr>
          <w:rFonts w:ascii="Verdana" w:eastAsia="Times New Roman" w:hAnsi="Verdana" w:cs="Times New Roman"/>
          <w:color w:val="000000"/>
          <w:highlight w:val="yellow"/>
          <w:lang w:eastAsia="en-PH"/>
        </w:rPr>
        <w:t>gestae</w:t>
      </w:r>
      <w:proofErr w:type="spellEnd"/>
      <w:r w:rsidRPr="00401611">
        <w:rPr>
          <w:rFonts w:ascii="Verdana" w:eastAsia="Times New Roman" w:hAnsi="Verdana" w:cs="Times New Roman"/>
          <w:color w:val="000000"/>
          <w:highlight w:val="yellow"/>
          <w:lang w:eastAsia="en-PH"/>
        </w:rPr>
        <w:t>: (1) that the principal act, the </w:t>
      </w:r>
      <w:r w:rsidRPr="00401611">
        <w:rPr>
          <w:rFonts w:ascii="Verdana" w:eastAsia="Times New Roman" w:hAnsi="Verdana" w:cs="Times New Roman"/>
          <w:i/>
          <w:iCs/>
          <w:color w:val="000000"/>
          <w:highlight w:val="yellow"/>
          <w:lang w:eastAsia="en-PH"/>
        </w:rPr>
        <w:t xml:space="preserve">res </w:t>
      </w:r>
      <w:proofErr w:type="spellStart"/>
      <w:r w:rsidRPr="00401611">
        <w:rPr>
          <w:rFonts w:ascii="Verdana" w:eastAsia="Times New Roman" w:hAnsi="Verdana" w:cs="Times New Roman"/>
          <w:i/>
          <w:iCs/>
          <w:color w:val="000000"/>
          <w:highlight w:val="yellow"/>
          <w:lang w:eastAsia="en-PH"/>
        </w:rPr>
        <w:t>gestae</w:t>
      </w:r>
      <w:proofErr w:type="spellEnd"/>
      <w:r w:rsidRPr="00401611">
        <w:rPr>
          <w:rFonts w:ascii="Verdana" w:eastAsia="Times New Roman" w:hAnsi="Verdana" w:cs="Times New Roman"/>
          <w:i/>
          <w:iCs/>
          <w:color w:val="000000"/>
          <w:highlight w:val="yellow"/>
          <w:lang w:eastAsia="en-PH"/>
        </w:rPr>
        <w:t>,</w:t>
      </w:r>
      <w:r w:rsidRPr="00401611">
        <w:rPr>
          <w:rFonts w:ascii="Verdana" w:eastAsia="Times New Roman" w:hAnsi="Verdana" w:cs="Times New Roman"/>
          <w:color w:val="000000"/>
          <w:highlight w:val="yellow"/>
          <w:lang w:eastAsia="en-PH"/>
        </w:rPr>
        <w:t> be a startling occurrence, in this case the discovery of the body of the victim; (2) the statements were made before the declarant had the time to contrive or devise a falsehood, in this case, appellant had begged for forgiveness immediately after the body was found; and (3) that the statements must concern the occurrence in question and its immediate attending circumstances, in this case, appellant had admitted to raping and killing the victim, and even "offered" his daughter in exchange for the victim.</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20"/>
      </w:r>
      <w:proofErr w:type="gramStart"/>
      <w:r w:rsidR="008F7739" w:rsidRPr="00401611">
        <w:rPr>
          <w:rFonts w:ascii="Verdana" w:eastAsia="Times New Roman" w:hAnsi="Verdana" w:cs="Times New Roman"/>
          <w:color w:val="FF0000"/>
          <w:vertAlign w:val="superscript"/>
          <w:lang w:eastAsia="en-PH"/>
        </w:rPr>
        <w:t>]</w:t>
      </w:r>
      <w:proofErr w:type="gramEnd"/>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 xml:space="preserve">Appellant’s </w:t>
      </w:r>
      <w:proofErr w:type="spellStart"/>
      <w:r w:rsidRPr="00401611">
        <w:rPr>
          <w:rFonts w:ascii="Verdana" w:eastAsia="Times New Roman" w:hAnsi="Verdana" w:cs="Times New Roman"/>
          <w:color w:val="000000"/>
          <w:lang w:eastAsia="en-PH"/>
        </w:rPr>
        <w:t>defense</w:t>
      </w:r>
      <w:proofErr w:type="spellEnd"/>
      <w:r w:rsidRPr="00401611">
        <w:rPr>
          <w:rFonts w:ascii="Verdana" w:eastAsia="Times New Roman" w:hAnsi="Verdana" w:cs="Times New Roman"/>
          <w:color w:val="000000"/>
          <w:lang w:eastAsia="en-PH"/>
        </w:rPr>
        <w:t xml:space="preserve"> of denial and alibi is likewise riddled with glaring inconsistencies. During his testimony, he claimed that on the night of the incident, he was at home with his wife and brother, taking care of his sick child, and emphatically declared that nobody else was with them.</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21"/>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However, appellant’s father testified that he was also with appellant at the time of the incident, creating a doubt regarding his alibi. Although appellant’s father initially denied knowing the victim, he later admitted that he knew her as the daughter of Gonzalo de la Cruz.</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22"/>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xml:space="preserve"> Evidently, appellant’s </w:t>
      </w:r>
      <w:proofErr w:type="spellStart"/>
      <w:r w:rsidRPr="00401611">
        <w:rPr>
          <w:rFonts w:ascii="Verdana" w:eastAsia="Times New Roman" w:hAnsi="Verdana" w:cs="Times New Roman"/>
          <w:color w:val="000000"/>
          <w:lang w:eastAsia="en-PH"/>
        </w:rPr>
        <w:t>defense</w:t>
      </w:r>
      <w:proofErr w:type="spellEnd"/>
      <w:r w:rsidRPr="00401611">
        <w:rPr>
          <w:rFonts w:ascii="Verdana" w:eastAsia="Times New Roman" w:hAnsi="Verdana" w:cs="Times New Roman"/>
          <w:color w:val="000000"/>
          <w:lang w:eastAsia="en-PH"/>
        </w:rPr>
        <w:t xml:space="preserve"> was fabricated in a desperate attempt to exculpate him.</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As to the crime committed, the trial court correctly convicted appellant of the special complex crime of "rape with homicide," and not "rape with murder" as designated in the Information, since "homicide" is herein taken in its generic sense.</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The aggravating circumstance of ignominy under Article 14, No. 17 of the Revised Penal Code should be appreciated considering that the medico-legal officer testified that the pubic area of the victim bore blisters brought about by a contact with a lighted cigarette. This circumstance added disgrace and obloquy to the material injury inflicted upon the victim of the crime.</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23"/>
      </w:r>
      <w:proofErr w:type="gramStart"/>
      <w:r w:rsidR="008F7739" w:rsidRPr="00401611">
        <w:rPr>
          <w:rFonts w:ascii="Verdana" w:eastAsia="Times New Roman" w:hAnsi="Verdana" w:cs="Times New Roman"/>
          <w:color w:val="FF0000"/>
          <w:vertAlign w:val="superscript"/>
          <w:lang w:eastAsia="en-PH"/>
        </w:rPr>
        <w:t>]</w:t>
      </w:r>
      <w:proofErr w:type="gramEnd"/>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lastRenderedPageBreak/>
        <w:t>At the time of the commission of the crime, Art. 335 of the Revised Penal Code imposed the penalty of death when by reason or on the occasion of the rape, homicide is committed. However, the 1987 Constitution suspended the imposition of death penalty, and therefore, the trial court correctly imposed the penalty of </w:t>
      </w:r>
      <w:r w:rsidRPr="00401611">
        <w:rPr>
          <w:rFonts w:ascii="Verdana" w:eastAsia="Times New Roman" w:hAnsi="Verdana" w:cs="Times New Roman"/>
          <w:i/>
          <w:iCs/>
          <w:color w:val="000000"/>
          <w:lang w:eastAsia="en-PH"/>
        </w:rPr>
        <w:t xml:space="preserve">reclusion </w:t>
      </w:r>
      <w:proofErr w:type="spellStart"/>
      <w:r w:rsidRPr="00401611">
        <w:rPr>
          <w:rFonts w:ascii="Verdana" w:eastAsia="Times New Roman" w:hAnsi="Verdana" w:cs="Times New Roman"/>
          <w:i/>
          <w:iCs/>
          <w:color w:val="000000"/>
          <w:lang w:eastAsia="en-PH"/>
        </w:rPr>
        <w:t>perpetua</w:t>
      </w:r>
      <w:proofErr w:type="spellEnd"/>
      <w:r w:rsidRPr="00401611">
        <w:rPr>
          <w:rFonts w:ascii="Verdana" w:eastAsia="Times New Roman" w:hAnsi="Verdana" w:cs="Times New Roman"/>
          <w:i/>
          <w:iCs/>
          <w:color w:val="000000"/>
          <w:lang w:eastAsia="en-PH"/>
        </w:rPr>
        <w:t>.</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t>As to the amount of damages, however, the trial court erred in awarding P50</w:t>
      </w:r>
      <w:proofErr w:type="gramStart"/>
      <w:r w:rsidRPr="00401611">
        <w:rPr>
          <w:rFonts w:ascii="Verdana" w:eastAsia="Times New Roman" w:hAnsi="Verdana" w:cs="Times New Roman"/>
          <w:color w:val="000000"/>
          <w:lang w:eastAsia="en-PH"/>
        </w:rPr>
        <w:t>,000.00</w:t>
      </w:r>
      <w:proofErr w:type="gramEnd"/>
      <w:r w:rsidRPr="00401611">
        <w:rPr>
          <w:rFonts w:ascii="Verdana" w:eastAsia="Times New Roman" w:hAnsi="Verdana" w:cs="Times New Roman"/>
          <w:color w:val="000000"/>
          <w:lang w:eastAsia="en-PH"/>
        </w:rPr>
        <w:t xml:space="preserve"> only as indemnity and P30,000.00 for actual and moral damages. Hence, correction is called for. This being a case of rape with homicide, civil indemnity in the amount of P100</w:t>
      </w:r>
      <w:proofErr w:type="gramStart"/>
      <w:r w:rsidRPr="00401611">
        <w:rPr>
          <w:rFonts w:ascii="Verdana" w:eastAsia="Times New Roman" w:hAnsi="Verdana" w:cs="Times New Roman"/>
          <w:color w:val="000000"/>
          <w:lang w:eastAsia="en-PH"/>
        </w:rPr>
        <w:t>,000.00</w:t>
      </w:r>
      <w:proofErr w:type="gramEnd"/>
      <w:r w:rsidRPr="00401611">
        <w:rPr>
          <w:rFonts w:ascii="Verdana" w:eastAsia="Times New Roman" w:hAnsi="Verdana" w:cs="Times New Roman"/>
          <w:color w:val="000000"/>
          <w:lang w:eastAsia="en-PH"/>
        </w:rPr>
        <w:t xml:space="preserve"> should be awarded, pursuant to current jurisprudence.</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24"/>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Moral damages in the amount of P50</w:t>
      </w:r>
      <w:proofErr w:type="gramStart"/>
      <w:r w:rsidRPr="00401611">
        <w:rPr>
          <w:rFonts w:ascii="Verdana" w:eastAsia="Times New Roman" w:hAnsi="Verdana" w:cs="Times New Roman"/>
          <w:color w:val="000000"/>
          <w:lang w:eastAsia="en-PH"/>
        </w:rPr>
        <w:t>,000.00</w:t>
      </w:r>
      <w:proofErr w:type="gramEnd"/>
      <w:r w:rsidRPr="00401611">
        <w:rPr>
          <w:rFonts w:ascii="Verdana" w:eastAsia="Times New Roman" w:hAnsi="Verdana" w:cs="Times New Roman"/>
          <w:color w:val="000000"/>
          <w:lang w:eastAsia="en-PH"/>
        </w:rPr>
        <w:t xml:space="preserve"> should also be awarded to the heirs of the victim, without need of further proof.</w:t>
      </w:r>
      <w:r w:rsidR="008F7739" w:rsidRPr="008F7739">
        <w:rPr>
          <w:rFonts w:ascii="Verdana" w:eastAsia="Times New Roman" w:hAnsi="Verdana" w:cs="Times New Roman"/>
          <w:color w:val="FF0000"/>
          <w:vertAlign w:val="superscript"/>
          <w:lang w:eastAsia="en-PH"/>
        </w:rPr>
        <w:t xml:space="preserve"> </w:t>
      </w:r>
      <w:r w:rsidR="008F7739">
        <w:rPr>
          <w:rFonts w:ascii="Verdana" w:eastAsia="Times New Roman" w:hAnsi="Verdana" w:cs="Times New Roman"/>
          <w:color w:val="FF0000"/>
          <w:vertAlign w:val="superscript"/>
          <w:lang w:eastAsia="en-PH"/>
        </w:rPr>
        <w:t>[</w:t>
      </w:r>
      <w:r w:rsidR="008F7739">
        <w:rPr>
          <w:rStyle w:val="FootnoteReference"/>
          <w:rFonts w:ascii="Verdana" w:eastAsia="Times New Roman" w:hAnsi="Verdana" w:cs="Times New Roman"/>
          <w:color w:val="FF0000"/>
          <w:lang w:eastAsia="en-PH"/>
        </w:rPr>
        <w:footnoteReference w:id="25"/>
      </w:r>
      <w:r w:rsidR="008F7739" w:rsidRPr="00401611">
        <w:rPr>
          <w:rFonts w:ascii="Verdana" w:eastAsia="Times New Roman" w:hAnsi="Verdana" w:cs="Times New Roman"/>
          <w:color w:val="FF0000"/>
          <w:vertAlign w:val="superscript"/>
          <w:lang w:eastAsia="en-PH"/>
        </w:rPr>
        <w:t>]</w:t>
      </w:r>
      <w:r w:rsidRPr="00401611">
        <w:rPr>
          <w:rFonts w:ascii="Verdana" w:eastAsia="Times New Roman" w:hAnsi="Verdana" w:cs="Times New Roman"/>
          <w:color w:val="000000"/>
          <w:lang w:eastAsia="en-PH"/>
        </w:rPr>
        <w:t> In view of the attendance of one aggravating circumstance, exemplary damages in the amount of P20,000.00 should likewise be awarded, pursuant to Article 2230 of the New Civil Code. But the award of actual damages cannot be allowed for lack of supporting evidence.</w:t>
      </w:r>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r>
      <w:r w:rsidRPr="00401611">
        <w:rPr>
          <w:rFonts w:ascii="Verdana" w:eastAsia="Times New Roman" w:hAnsi="Verdana" w:cs="Times New Roman"/>
          <w:b/>
          <w:bCs/>
          <w:color w:val="000000"/>
          <w:lang w:eastAsia="en-PH"/>
        </w:rPr>
        <w:t>WHEREFORE</w:t>
      </w:r>
      <w:r w:rsidRPr="00401611">
        <w:rPr>
          <w:rFonts w:ascii="Verdana" w:eastAsia="Times New Roman" w:hAnsi="Verdana" w:cs="Times New Roman"/>
          <w:color w:val="000000"/>
          <w:lang w:eastAsia="en-PH"/>
        </w:rPr>
        <w:t xml:space="preserve">, the assailed decision of the Regional Trial Court of </w:t>
      </w:r>
      <w:proofErr w:type="spellStart"/>
      <w:r w:rsidRPr="00401611">
        <w:rPr>
          <w:rFonts w:ascii="Verdana" w:eastAsia="Times New Roman" w:hAnsi="Verdana" w:cs="Times New Roman"/>
          <w:color w:val="000000"/>
          <w:lang w:eastAsia="en-PH"/>
        </w:rPr>
        <w:t>Gumaca</w:t>
      </w:r>
      <w:proofErr w:type="spellEnd"/>
      <w:r w:rsidRPr="00401611">
        <w:rPr>
          <w:rFonts w:ascii="Verdana" w:eastAsia="Times New Roman" w:hAnsi="Verdana" w:cs="Times New Roman"/>
          <w:color w:val="000000"/>
          <w:lang w:eastAsia="en-PH"/>
        </w:rPr>
        <w:t xml:space="preserve">, Quezon, </w:t>
      </w:r>
      <w:proofErr w:type="gramStart"/>
      <w:r w:rsidRPr="00401611">
        <w:rPr>
          <w:rFonts w:ascii="Verdana" w:eastAsia="Times New Roman" w:hAnsi="Verdana" w:cs="Times New Roman"/>
          <w:color w:val="000000"/>
          <w:lang w:eastAsia="en-PH"/>
        </w:rPr>
        <w:t>Branch</w:t>
      </w:r>
      <w:proofErr w:type="gramEnd"/>
      <w:r w:rsidRPr="00401611">
        <w:rPr>
          <w:rFonts w:ascii="Verdana" w:eastAsia="Times New Roman" w:hAnsi="Verdana" w:cs="Times New Roman"/>
          <w:color w:val="000000"/>
          <w:lang w:eastAsia="en-PH"/>
        </w:rPr>
        <w:t xml:space="preserve"> 62 is </w:t>
      </w:r>
      <w:r w:rsidRPr="00401611">
        <w:rPr>
          <w:rFonts w:ascii="Verdana" w:eastAsia="Times New Roman" w:hAnsi="Verdana" w:cs="Times New Roman"/>
          <w:b/>
          <w:bCs/>
          <w:color w:val="000000"/>
          <w:lang w:eastAsia="en-PH"/>
        </w:rPr>
        <w:t>AFFIRMED</w:t>
      </w:r>
      <w:r w:rsidRPr="00401611">
        <w:rPr>
          <w:rFonts w:ascii="Verdana" w:eastAsia="Times New Roman" w:hAnsi="Verdana" w:cs="Times New Roman"/>
          <w:color w:val="000000"/>
          <w:lang w:eastAsia="en-PH"/>
        </w:rPr>
        <w:t> with </w:t>
      </w:r>
      <w:r w:rsidRPr="00401611">
        <w:rPr>
          <w:rFonts w:ascii="Verdana" w:eastAsia="Times New Roman" w:hAnsi="Verdana" w:cs="Times New Roman"/>
          <w:b/>
          <w:bCs/>
          <w:color w:val="000000"/>
          <w:lang w:eastAsia="en-PH"/>
        </w:rPr>
        <w:t>MODIFICATIONS</w:t>
      </w:r>
      <w:r w:rsidRPr="00401611">
        <w:rPr>
          <w:rFonts w:ascii="Verdana" w:eastAsia="Times New Roman" w:hAnsi="Verdana" w:cs="Times New Roman"/>
          <w:color w:val="000000"/>
          <w:lang w:eastAsia="en-PH"/>
        </w:rPr>
        <w:t>. Appellant VICENTE VALLA is hereby sentenced to </w:t>
      </w:r>
      <w:r w:rsidRPr="00401611">
        <w:rPr>
          <w:rFonts w:ascii="Verdana" w:eastAsia="Times New Roman" w:hAnsi="Verdana" w:cs="Times New Roman"/>
          <w:i/>
          <w:iCs/>
          <w:color w:val="000000"/>
          <w:lang w:eastAsia="en-PH"/>
        </w:rPr>
        <w:t xml:space="preserve">reclusion </w:t>
      </w:r>
      <w:proofErr w:type="spellStart"/>
      <w:r w:rsidRPr="00401611">
        <w:rPr>
          <w:rFonts w:ascii="Verdana" w:eastAsia="Times New Roman" w:hAnsi="Verdana" w:cs="Times New Roman"/>
          <w:i/>
          <w:iCs/>
          <w:color w:val="000000"/>
          <w:lang w:eastAsia="en-PH"/>
        </w:rPr>
        <w:t>perpetua</w:t>
      </w:r>
      <w:proofErr w:type="spellEnd"/>
      <w:r w:rsidRPr="00401611">
        <w:rPr>
          <w:rFonts w:ascii="Verdana" w:eastAsia="Times New Roman" w:hAnsi="Verdana" w:cs="Times New Roman"/>
          <w:color w:val="000000"/>
          <w:lang w:eastAsia="en-PH"/>
        </w:rPr>
        <w:t> and ordered to pay the heirs of the victim the amount of P100</w:t>
      </w:r>
      <w:proofErr w:type="gramStart"/>
      <w:r w:rsidRPr="00401611">
        <w:rPr>
          <w:rFonts w:ascii="Verdana" w:eastAsia="Times New Roman" w:hAnsi="Verdana" w:cs="Times New Roman"/>
          <w:color w:val="000000"/>
          <w:lang w:eastAsia="en-PH"/>
        </w:rPr>
        <w:t>,000.00</w:t>
      </w:r>
      <w:proofErr w:type="gramEnd"/>
      <w:r w:rsidRPr="00401611">
        <w:rPr>
          <w:rFonts w:ascii="Verdana" w:eastAsia="Times New Roman" w:hAnsi="Verdana" w:cs="Times New Roman"/>
          <w:color w:val="000000"/>
          <w:lang w:eastAsia="en-PH"/>
        </w:rPr>
        <w:t xml:space="preserve"> as civil indemnity, P50,000.00 as moral damages, and P20,000.00 as exemplary damages. </w:t>
      </w:r>
      <w:proofErr w:type="gramStart"/>
      <w:r w:rsidRPr="00401611">
        <w:rPr>
          <w:rFonts w:ascii="Verdana" w:eastAsia="Times New Roman" w:hAnsi="Verdana" w:cs="Times New Roman"/>
          <w:color w:val="000000"/>
          <w:lang w:eastAsia="en-PH"/>
        </w:rPr>
        <w:t>Costs against appellant.</w:t>
      </w:r>
      <w:proofErr w:type="gramEnd"/>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r>
      <w:proofErr w:type="gramStart"/>
      <w:r w:rsidRPr="00401611">
        <w:rPr>
          <w:rFonts w:ascii="Verdana" w:eastAsia="Times New Roman" w:hAnsi="Verdana" w:cs="Times New Roman"/>
          <w:b/>
          <w:bCs/>
          <w:color w:val="000000"/>
          <w:lang w:eastAsia="en-PH"/>
        </w:rPr>
        <w:t>SO ORDERED.</w:t>
      </w:r>
      <w:proofErr w:type="gramEnd"/>
      <w:r w:rsidRPr="00401611">
        <w:rPr>
          <w:rFonts w:ascii="Verdana" w:eastAsia="Times New Roman" w:hAnsi="Verdana" w:cs="Times New Roman"/>
          <w:color w:val="000000"/>
          <w:lang w:eastAsia="en-PH"/>
        </w:rPr>
        <w:br/>
      </w:r>
      <w:r w:rsidRPr="00401611">
        <w:rPr>
          <w:rFonts w:ascii="Verdana" w:eastAsia="Times New Roman" w:hAnsi="Verdana" w:cs="Times New Roman"/>
          <w:color w:val="000000"/>
          <w:lang w:eastAsia="en-PH"/>
        </w:rPr>
        <w:br/>
      </w:r>
      <w:proofErr w:type="spellStart"/>
      <w:r w:rsidRPr="00401611">
        <w:rPr>
          <w:rFonts w:ascii="Verdana" w:eastAsia="Times New Roman" w:hAnsi="Verdana" w:cs="Times New Roman"/>
          <w:i/>
          <w:iCs/>
          <w:color w:val="000000"/>
          <w:lang w:eastAsia="en-PH"/>
        </w:rPr>
        <w:t>Bellosillo</w:t>
      </w:r>
      <w:proofErr w:type="spellEnd"/>
      <w:r w:rsidRPr="00401611">
        <w:rPr>
          <w:rFonts w:ascii="Verdana" w:eastAsia="Times New Roman" w:hAnsi="Verdana" w:cs="Times New Roman"/>
          <w:i/>
          <w:iCs/>
          <w:color w:val="000000"/>
          <w:lang w:eastAsia="en-PH"/>
        </w:rPr>
        <w:t>, (Chairman), Mendoza, Buena,</w:t>
      </w:r>
      <w:r w:rsidRPr="00401611">
        <w:rPr>
          <w:rFonts w:ascii="Verdana" w:eastAsia="Times New Roman" w:hAnsi="Verdana" w:cs="Times New Roman"/>
          <w:color w:val="000000"/>
          <w:lang w:eastAsia="en-PH"/>
        </w:rPr>
        <w:t> and </w:t>
      </w:r>
      <w:r w:rsidRPr="00401611">
        <w:rPr>
          <w:rFonts w:ascii="Verdana" w:eastAsia="Times New Roman" w:hAnsi="Verdana" w:cs="Times New Roman"/>
          <w:i/>
          <w:iCs/>
          <w:color w:val="000000"/>
          <w:lang w:eastAsia="en-PH"/>
        </w:rPr>
        <w:t xml:space="preserve">De Leon, Jr., </w:t>
      </w:r>
      <w:proofErr w:type="gramStart"/>
      <w:r w:rsidRPr="00401611">
        <w:rPr>
          <w:rFonts w:ascii="Verdana" w:eastAsia="Times New Roman" w:hAnsi="Verdana" w:cs="Times New Roman"/>
          <w:i/>
          <w:iCs/>
          <w:color w:val="000000"/>
          <w:lang w:eastAsia="en-PH"/>
        </w:rPr>
        <w:t>JJ.,</w:t>
      </w:r>
      <w:proofErr w:type="gramEnd"/>
      <w:r w:rsidRPr="00401611">
        <w:rPr>
          <w:rFonts w:ascii="Verdana" w:eastAsia="Times New Roman" w:hAnsi="Verdana" w:cs="Times New Roman"/>
          <w:color w:val="000000"/>
          <w:lang w:eastAsia="en-PH"/>
        </w:rPr>
        <w:t> concur.</w:t>
      </w:r>
      <w:r w:rsidRPr="00401611">
        <w:rPr>
          <w:rFonts w:ascii="Verdana" w:eastAsia="Times New Roman" w:hAnsi="Verdana" w:cs="Times New Roman"/>
          <w:color w:val="000000"/>
          <w:lang w:eastAsia="en-PH"/>
        </w:rPr>
        <w:br/>
      </w:r>
    </w:p>
    <w:p w:rsidR="00401611" w:rsidRPr="00401611" w:rsidRDefault="00401611" w:rsidP="00401611">
      <w:pPr>
        <w:spacing w:after="0" w:line="240" w:lineRule="auto"/>
        <w:rPr>
          <w:rFonts w:ascii="Verdana" w:eastAsia="Times New Roman" w:hAnsi="Verdana" w:cs="Times New Roman"/>
          <w:color w:val="000000"/>
          <w:lang w:eastAsia="en-PH"/>
        </w:rPr>
      </w:pPr>
      <w:r w:rsidRPr="00401611">
        <w:rPr>
          <w:rFonts w:ascii="Verdana" w:eastAsia="Times New Roman" w:hAnsi="Verdana" w:cs="Times New Roman"/>
          <w:color w:val="000000"/>
          <w:lang w:eastAsia="en-PH"/>
        </w:rPr>
        <w:pict>
          <v:rect id="_x0000_i1025" style="width:270.8pt;height:.75pt" o:hrpct="600" o:hrstd="t" o:hrnoshade="t" o:hr="t" fillcolor="#a0a0a0" stroked="f"/>
        </w:pict>
      </w:r>
    </w:p>
    <w:p w:rsidR="00401611" w:rsidRPr="00401611" w:rsidRDefault="00401611" w:rsidP="00401611">
      <w:pPr>
        <w:spacing w:before="300" w:after="0" w:line="240" w:lineRule="auto"/>
        <w:jc w:val="center"/>
        <w:rPr>
          <w:rFonts w:ascii="Verdana" w:eastAsia="Times New Roman" w:hAnsi="Verdana" w:cs="Times New Roman"/>
          <w:color w:val="000000"/>
          <w:lang w:eastAsia="en-PH"/>
        </w:rPr>
      </w:pPr>
      <w:bookmarkStart w:id="0" w:name="_GoBack"/>
      <w:bookmarkEnd w:id="0"/>
      <w:r w:rsidRPr="00401611">
        <w:rPr>
          <w:rFonts w:ascii="Verdana" w:eastAsia="Times New Roman" w:hAnsi="Verdana" w:cs="Times New Roman"/>
          <w:color w:val="666666"/>
          <w:sz w:val="15"/>
          <w:szCs w:val="15"/>
          <w:lang w:eastAsia="en-PH"/>
        </w:rPr>
        <w:br/>
        <w:t>Source: Supreme Court E-Library</w:t>
      </w:r>
      <w:r w:rsidRPr="00401611">
        <w:rPr>
          <w:rFonts w:ascii="Verdana" w:eastAsia="Times New Roman" w:hAnsi="Verdana" w:cs="Times New Roman"/>
          <w:color w:val="666666"/>
          <w:sz w:val="15"/>
          <w:szCs w:val="15"/>
          <w:lang w:eastAsia="en-PH"/>
        </w:rPr>
        <w:br/>
      </w:r>
    </w:p>
    <w:p w:rsidR="00E13432" w:rsidRDefault="00E13432"/>
    <w:sectPr w:rsidR="00E13432" w:rsidSect="00F87954">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625A" w:rsidRDefault="00A1625A" w:rsidP="00401611">
      <w:pPr>
        <w:spacing w:after="0" w:line="240" w:lineRule="auto"/>
      </w:pPr>
      <w:r>
        <w:separator/>
      </w:r>
    </w:p>
  </w:endnote>
  <w:endnote w:type="continuationSeparator" w:id="0">
    <w:p w:rsidR="00A1625A" w:rsidRDefault="00A1625A" w:rsidP="004016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625A" w:rsidRDefault="00A1625A" w:rsidP="00401611">
      <w:pPr>
        <w:spacing w:after="0" w:line="240" w:lineRule="auto"/>
      </w:pPr>
      <w:r>
        <w:separator/>
      </w:r>
    </w:p>
  </w:footnote>
  <w:footnote w:type="continuationSeparator" w:id="0">
    <w:p w:rsidR="00A1625A" w:rsidRDefault="00A1625A" w:rsidP="00401611">
      <w:pPr>
        <w:spacing w:after="0" w:line="240" w:lineRule="auto"/>
      </w:pPr>
      <w:r>
        <w:continuationSeparator/>
      </w:r>
    </w:p>
  </w:footnote>
  <w:footnote w:id="1">
    <w:p w:rsidR="00401611" w:rsidRDefault="00401611">
      <w:pPr>
        <w:pStyle w:val="FootnoteText"/>
      </w:pPr>
      <w:r w:rsidRPr="00401611">
        <w:rPr>
          <w:rStyle w:val="FootnoteReference"/>
          <w:color w:val="FF0000"/>
        </w:rPr>
        <w:footnoteRef/>
      </w:r>
      <w:r>
        <w:t xml:space="preserve"> </w:t>
      </w:r>
    </w:p>
  </w:footnote>
  <w:footnote w:id="2">
    <w:p w:rsidR="008F7739" w:rsidRDefault="008F7739">
      <w:pPr>
        <w:pStyle w:val="FootnoteText"/>
      </w:pPr>
      <w:r w:rsidRPr="008F7739">
        <w:rPr>
          <w:rStyle w:val="FootnoteReference"/>
          <w:color w:val="FF0000"/>
        </w:rPr>
        <w:footnoteRef/>
      </w:r>
      <w:r>
        <w:t xml:space="preserve"> </w:t>
      </w:r>
      <w:r w:rsidRPr="008F7739">
        <w:t>Rollo, pp. 88-92.</w:t>
      </w:r>
    </w:p>
  </w:footnote>
  <w:footnote w:id="3">
    <w:p w:rsidR="008F7739" w:rsidRDefault="008F7739" w:rsidP="008F7739">
      <w:pPr>
        <w:pStyle w:val="FootnoteText"/>
      </w:pPr>
      <w:r w:rsidRPr="008F7739">
        <w:rPr>
          <w:rStyle w:val="FootnoteReference"/>
          <w:color w:val="FF0000"/>
        </w:rPr>
        <w:footnoteRef/>
      </w:r>
      <w:r>
        <w:t xml:space="preserve"> </w:t>
      </w:r>
      <w:r w:rsidRPr="008F7739">
        <w:t>Records, pp. 2-3.</w:t>
      </w:r>
    </w:p>
  </w:footnote>
  <w:footnote w:id="4">
    <w:p w:rsidR="008F7739" w:rsidRDefault="008F7739" w:rsidP="008F7739">
      <w:pPr>
        <w:pStyle w:val="FootnoteText"/>
      </w:pPr>
      <w:r w:rsidRPr="008F7739">
        <w:rPr>
          <w:rStyle w:val="FootnoteReference"/>
          <w:color w:val="FF0000"/>
        </w:rPr>
        <w:footnoteRef/>
      </w:r>
      <w:r>
        <w:t xml:space="preserve"> </w:t>
      </w:r>
      <w:r w:rsidRPr="008F7739">
        <w:t>Records, p. 8.</w:t>
      </w:r>
    </w:p>
  </w:footnote>
  <w:footnote w:id="5">
    <w:p w:rsidR="008F7739" w:rsidRDefault="008F7739" w:rsidP="008F7739">
      <w:pPr>
        <w:pStyle w:val="FootnoteText"/>
      </w:pPr>
      <w:r w:rsidRPr="008F7739">
        <w:rPr>
          <w:rStyle w:val="FootnoteReference"/>
          <w:color w:val="FF0000"/>
        </w:rPr>
        <w:footnoteRef/>
      </w:r>
      <w:r>
        <w:t xml:space="preserve"> </w:t>
      </w:r>
      <w:r w:rsidRPr="008F7739">
        <w:t>TSN, January 14, 1992, pp. 4-6.</w:t>
      </w:r>
    </w:p>
  </w:footnote>
  <w:footnote w:id="6">
    <w:p w:rsidR="008F7739" w:rsidRDefault="008F7739" w:rsidP="008F7739">
      <w:pPr>
        <w:pStyle w:val="FootnoteText"/>
      </w:pPr>
      <w:r w:rsidRPr="008F7739">
        <w:rPr>
          <w:rStyle w:val="FootnoteReference"/>
          <w:color w:val="FF0000"/>
        </w:rPr>
        <w:footnoteRef/>
      </w:r>
      <w:r>
        <w:t xml:space="preserve"> </w:t>
      </w:r>
      <w:r w:rsidRPr="008F7739">
        <w:t>TSN, July 21, 1992, pp. 3-11.</w:t>
      </w:r>
    </w:p>
  </w:footnote>
  <w:footnote w:id="7">
    <w:p w:rsidR="008F7739" w:rsidRDefault="008F7739" w:rsidP="008F7739">
      <w:pPr>
        <w:pStyle w:val="FootnoteText"/>
      </w:pPr>
      <w:r w:rsidRPr="008F7739">
        <w:rPr>
          <w:rStyle w:val="FootnoteReference"/>
          <w:color w:val="FF0000"/>
        </w:rPr>
        <w:footnoteRef/>
      </w:r>
      <w:r>
        <w:t xml:space="preserve"> </w:t>
      </w:r>
      <w:r w:rsidRPr="008F7739">
        <w:t>TSN, November 4, 1992, pp. 3-10.</w:t>
      </w:r>
    </w:p>
  </w:footnote>
  <w:footnote w:id="8">
    <w:p w:rsidR="008F7739" w:rsidRDefault="008F7739" w:rsidP="008F7739">
      <w:pPr>
        <w:pStyle w:val="FootnoteText"/>
      </w:pPr>
      <w:r w:rsidRPr="008F7739">
        <w:rPr>
          <w:rStyle w:val="FootnoteReference"/>
          <w:color w:val="FF0000"/>
        </w:rPr>
        <w:footnoteRef/>
      </w:r>
      <w:r>
        <w:t xml:space="preserve"> </w:t>
      </w:r>
      <w:r w:rsidRPr="008F7739">
        <w:t>Records, pp. 228-245.</w:t>
      </w:r>
    </w:p>
  </w:footnote>
  <w:footnote w:id="9">
    <w:p w:rsidR="008F7739" w:rsidRDefault="008F7739" w:rsidP="008F7739">
      <w:pPr>
        <w:pStyle w:val="FootnoteText"/>
      </w:pPr>
      <w:r w:rsidRPr="008F7739">
        <w:rPr>
          <w:rStyle w:val="FootnoteReference"/>
          <w:color w:val="FF0000"/>
        </w:rPr>
        <w:footnoteRef/>
      </w:r>
      <w:r>
        <w:t xml:space="preserve"> </w:t>
      </w:r>
      <w:r w:rsidRPr="008F7739">
        <w:t>Rollo, p. 48.</w:t>
      </w:r>
    </w:p>
  </w:footnote>
  <w:footnote w:id="10">
    <w:p w:rsidR="008F7739" w:rsidRDefault="008F7739" w:rsidP="008F7739">
      <w:pPr>
        <w:pStyle w:val="FootnoteText"/>
      </w:pPr>
      <w:r w:rsidRPr="008F7739">
        <w:rPr>
          <w:rStyle w:val="FootnoteReference"/>
          <w:color w:val="FF0000"/>
        </w:rPr>
        <w:footnoteRef/>
      </w:r>
      <w:r>
        <w:t xml:space="preserve"> </w:t>
      </w:r>
      <w:r w:rsidRPr="008F7739">
        <w:t>TSN, February 5, 1991, p. 15.</w:t>
      </w:r>
    </w:p>
  </w:footnote>
  <w:footnote w:id="11">
    <w:p w:rsidR="008F7739" w:rsidRDefault="008F7739" w:rsidP="008F7739">
      <w:pPr>
        <w:pStyle w:val="FootnoteText"/>
      </w:pPr>
      <w:r w:rsidRPr="008F7739">
        <w:rPr>
          <w:rStyle w:val="FootnoteReference"/>
          <w:color w:val="FF0000"/>
        </w:rPr>
        <w:footnoteRef/>
      </w:r>
      <w:r>
        <w:t xml:space="preserve"> </w:t>
      </w:r>
      <w:proofErr w:type="gramStart"/>
      <w:r w:rsidRPr="008F7739">
        <w:t>Id. at 20.</w:t>
      </w:r>
      <w:proofErr w:type="gramEnd"/>
    </w:p>
  </w:footnote>
  <w:footnote w:id="12">
    <w:p w:rsidR="008F7739" w:rsidRDefault="008F7739" w:rsidP="008F7739">
      <w:pPr>
        <w:pStyle w:val="FootnoteText"/>
      </w:pPr>
      <w:r w:rsidRPr="008F7739">
        <w:rPr>
          <w:rStyle w:val="FootnoteReference"/>
          <w:color w:val="FF0000"/>
        </w:rPr>
        <w:footnoteRef/>
      </w:r>
      <w:r>
        <w:t xml:space="preserve"> </w:t>
      </w:r>
      <w:r w:rsidRPr="008F7739">
        <w:t>TSN, July 18, 1991, p. 13.</w:t>
      </w:r>
    </w:p>
  </w:footnote>
  <w:footnote w:id="13">
    <w:p w:rsidR="008F7739" w:rsidRDefault="008F7739" w:rsidP="008F7739">
      <w:pPr>
        <w:pStyle w:val="FootnoteText"/>
      </w:pPr>
      <w:r w:rsidRPr="008F7739">
        <w:rPr>
          <w:rStyle w:val="FootnoteReference"/>
          <w:color w:val="FF0000"/>
        </w:rPr>
        <w:footnoteRef/>
      </w:r>
      <w:r>
        <w:t xml:space="preserve"> </w:t>
      </w:r>
      <w:proofErr w:type="gramStart"/>
      <w:r w:rsidRPr="008F7739">
        <w:t>Id. at 11.</w:t>
      </w:r>
      <w:proofErr w:type="gramEnd"/>
    </w:p>
  </w:footnote>
  <w:footnote w:id="14">
    <w:p w:rsidR="008F7739" w:rsidRDefault="008F7739" w:rsidP="008F7739">
      <w:pPr>
        <w:pStyle w:val="FootnoteText"/>
      </w:pPr>
      <w:r w:rsidRPr="008F7739">
        <w:rPr>
          <w:rStyle w:val="FootnoteReference"/>
          <w:color w:val="FF0000"/>
        </w:rPr>
        <w:footnoteRef/>
      </w:r>
      <w:r>
        <w:t xml:space="preserve"> </w:t>
      </w:r>
      <w:proofErr w:type="gramStart"/>
      <w:r w:rsidRPr="008F7739">
        <w:t>People vs. Sanchez, 302 SCRA 21, 45 (1999).</w:t>
      </w:r>
      <w:proofErr w:type="gramEnd"/>
    </w:p>
  </w:footnote>
  <w:footnote w:id="15">
    <w:p w:rsidR="008F7739" w:rsidRDefault="008F7739" w:rsidP="008F7739">
      <w:pPr>
        <w:pStyle w:val="FootnoteText"/>
      </w:pPr>
      <w:r w:rsidRPr="008F7739">
        <w:rPr>
          <w:rStyle w:val="FootnoteReference"/>
          <w:color w:val="FF0000"/>
        </w:rPr>
        <w:footnoteRef/>
      </w:r>
      <w:r>
        <w:t xml:space="preserve"> </w:t>
      </w:r>
      <w:proofErr w:type="gramStart"/>
      <w:r w:rsidRPr="008F7739">
        <w:t>Id. at 51; People v. Muñoz, 163 SCRA 730, 743 (1988).</w:t>
      </w:r>
      <w:proofErr w:type="gramEnd"/>
    </w:p>
  </w:footnote>
  <w:footnote w:id="16">
    <w:p w:rsidR="008F7739" w:rsidRDefault="008F7739" w:rsidP="008F7739">
      <w:pPr>
        <w:pStyle w:val="FootnoteText"/>
      </w:pPr>
      <w:r w:rsidRPr="008F7739">
        <w:rPr>
          <w:rStyle w:val="FootnoteReference"/>
          <w:color w:val="FF0000"/>
        </w:rPr>
        <w:footnoteRef/>
      </w:r>
      <w:r>
        <w:t xml:space="preserve"> </w:t>
      </w:r>
      <w:proofErr w:type="gramStart"/>
      <w:r w:rsidRPr="008F7739">
        <w:t>Ibid.;</w:t>
      </w:r>
      <w:proofErr w:type="gramEnd"/>
      <w:r w:rsidRPr="008F7739">
        <w:t xml:space="preserve"> </w:t>
      </w:r>
      <w:proofErr w:type="spellStart"/>
      <w:r w:rsidRPr="008F7739">
        <w:t>Sumalpong</w:t>
      </w:r>
      <w:proofErr w:type="spellEnd"/>
      <w:r w:rsidRPr="008F7739">
        <w:t xml:space="preserve"> v. CA, 268 SCRA 764, 771 (1997); People v. </w:t>
      </w:r>
      <w:proofErr w:type="spellStart"/>
      <w:r w:rsidRPr="008F7739">
        <w:t>Sison</w:t>
      </w:r>
      <w:proofErr w:type="spellEnd"/>
      <w:r w:rsidRPr="008F7739">
        <w:t>, 189 SCRA 643, 648 (1990).</w:t>
      </w:r>
    </w:p>
  </w:footnote>
  <w:footnote w:id="17">
    <w:p w:rsidR="008F7739" w:rsidRDefault="008F7739" w:rsidP="008F7739">
      <w:pPr>
        <w:pStyle w:val="FootnoteText"/>
      </w:pPr>
      <w:r w:rsidRPr="008F7739">
        <w:rPr>
          <w:rStyle w:val="FootnoteReference"/>
          <w:color w:val="FF0000"/>
        </w:rPr>
        <w:footnoteRef/>
      </w:r>
      <w:r>
        <w:t xml:space="preserve"> </w:t>
      </w:r>
      <w:r w:rsidRPr="008F7739">
        <w:t>TSN, July 21, 1992, p. 10.</w:t>
      </w:r>
    </w:p>
  </w:footnote>
  <w:footnote w:id="18">
    <w:p w:rsidR="008F7739" w:rsidRDefault="008F7739" w:rsidP="008F7739">
      <w:pPr>
        <w:pStyle w:val="FootnoteText"/>
      </w:pPr>
      <w:r w:rsidRPr="008F7739">
        <w:rPr>
          <w:rStyle w:val="FootnoteReference"/>
          <w:color w:val="FF0000"/>
        </w:rPr>
        <w:footnoteRef/>
      </w:r>
      <w:r>
        <w:t xml:space="preserve"> </w:t>
      </w:r>
      <w:r w:rsidRPr="008F7739">
        <w:t>TSN, February 5, 1991, pp. 16, 25; TSN, July 18, 1991, p. 11; TSN, September 17, 1991, pp. 10-11.</w:t>
      </w:r>
    </w:p>
  </w:footnote>
  <w:footnote w:id="19">
    <w:p w:rsidR="008F7739" w:rsidRDefault="008F7739" w:rsidP="008F7739">
      <w:pPr>
        <w:pStyle w:val="FootnoteText"/>
      </w:pPr>
      <w:r w:rsidRPr="008F7739">
        <w:rPr>
          <w:rStyle w:val="FootnoteReference"/>
          <w:color w:val="FF0000"/>
        </w:rPr>
        <w:footnoteRef/>
      </w:r>
      <w:r>
        <w:t xml:space="preserve"> </w:t>
      </w:r>
      <w:r w:rsidRPr="008F7739">
        <w:t>People v. Sanchez, 213 SCRA 70, 78 (1992), citing Underhill’s Criminal Evidence, 5th ed. vol. I., section 266, p. 664.</w:t>
      </w:r>
    </w:p>
  </w:footnote>
  <w:footnote w:id="20">
    <w:p w:rsidR="008F7739" w:rsidRDefault="008F7739" w:rsidP="008F7739">
      <w:pPr>
        <w:pStyle w:val="FootnoteText"/>
      </w:pPr>
      <w:r w:rsidRPr="008F7739">
        <w:rPr>
          <w:rStyle w:val="FootnoteReference"/>
          <w:color w:val="FF0000"/>
        </w:rPr>
        <w:footnoteRef/>
      </w:r>
      <w:r>
        <w:t xml:space="preserve"> </w:t>
      </w:r>
      <w:proofErr w:type="gramStart"/>
      <w:r w:rsidRPr="008F7739">
        <w:t xml:space="preserve">People v. </w:t>
      </w:r>
      <w:proofErr w:type="spellStart"/>
      <w:r w:rsidRPr="008F7739">
        <w:t>Manhuyod</w:t>
      </w:r>
      <w:proofErr w:type="spellEnd"/>
      <w:r w:rsidRPr="008F7739">
        <w:t>, Jr., 290 SCRA 257, 273 (1998).</w:t>
      </w:r>
      <w:proofErr w:type="gramEnd"/>
    </w:p>
  </w:footnote>
  <w:footnote w:id="21">
    <w:p w:rsidR="008F7739" w:rsidRDefault="008F7739" w:rsidP="008F7739">
      <w:pPr>
        <w:pStyle w:val="FootnoteText"/>
      </w:pPr>
      <w:r w:rsidRPr="008F7739">
        <w:rPr>
          <w:rStyle w:val="FootnoteReference"/>
          <w:color w:val="FF0000"/>
        </w:rPr>
        <w:footnoteRef/>
      </w:r>
      <w:r>
        <w:t xml:space="preserve"> </w:t>
      </w:r>
      <w:r w:rsidRPr="008F7739">
        <w:t>TSN, July 21, 1992, p. 4</w:t>
      </w:r>
    </w:p>
  </w:footnote>
  <w:footnote w:id="22">
    <w:p w:rsidR="008F7739" w:rsidRDefault="008F7739" w:rsidP="008F7739">
      <w:pPr>
        <w:pStyle w:val="FootnoteText"/>
      </w:pPr>
      <w:r w:rsidRPr="008F7739">
        <w:rPr>
          <w:rStyle w:val="FootnoteReference"/>
          <w:color w:val="FF0000"/>
        </w:rPr>
        <w:footnoteRef/>
      </w:r>
      <w:r>
        <w:t xml:space="preserve"> </w:t>
      </w:r>
      <w:r w:rsidRPr="008F7739">
        <w:t>TSN, November 4, 1992, p. 3-4</w:t>
      </w:r>
    </w:p>
  </w:footnote>
  <w:footnote w:id="23">
    <w:p w:rsidR="008F7739" w:rsidRDefault="008F7739" w:rsidP="008F7739">
      <w:pPr>
        <w:pStyle w:val="FootnoteText"/>
      </w:pPr>
      <w:r w:rsidRPr="008F7739">
        <w:rPr>
          <w:rStyle w:val="FootnoteReference"/>
          <w:color w:val="FF0000"/>
        </w:rPr>
        <w:footnoteRef/>
      </w:r>
      <w:r>
        <w:t xml:space="preserve"> </w:t>
      </w:r>
      <w:r w:rsidRPr="008F7739">
        <w:t xml:space="preserve">People v. </w:t>
      </w:r>
      <w:proofErr w:type="spellStart"/>
      <w:r w:rsidRPr="008F7739">
        <w:t>Acaya</w:t>
      </w:r>
      <w:proofErr w:type="spellEnd"/>
      <w:r w:rsidRPr="008F7739">
        <w:t>, 163 SCRA 768, 774 (1988)</w:t>
      </w:r>
    </w:p>
  </w:footnote>
  <w:footnote w:id="24">
    <w:p w:rsidR="008F7739" w:rsidRDefault="008F7739" w:rsidP="008F7739">
      <w:pPr>
        <w:pStyle w:val="FootnoteText"/>
      </w:pPr>
      <w:r w:rsidRPr="008F7739">
        <w:rPr>
          <w:rStyle w:val="FootnoteReference"/>
          <w:color w:val="FF0000"/>
        </w:rPr>
        <w:footnoteRef/>
      </w:r>
      <w:r>
        <w:t xml:space="preserve"> </w:t>
      </w:r>
      <w:r w:rsidRPr="008F7739">
        <w:t>People v. Robles, G.R. No. 124300, March 25, 1999, p. 11.</w:t>
      </w:r>
    </w:p>
  </w:footnote>
  <w:footnote w:id="25">
    <w:p w:rsidR="008F7739" w:rsidRDefault="008F7739" w:rsidP="008F7739">
      <w:pPr>
        <w:pStyle w:val="FootnoteText"/>
      </w:pPr>
      <w:r w:rsidRPr="008F7739">
        <w:rPr>
          <w:rStyle w:val="FootnoteReference"/>
          <w:color w:val="FF0000"/>
        </w:rPr>
        <w:footnoteRef/>
      </w:r>
      <w:r>
        <w:t xml:space="preserve"> </w:t>
      </w:r>
      <w:proofErr w:type="gramStart"/>
      <w:r w:rsidRPr="008F7739">
        <w:t>Id. at 12.</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84364B"/>
    <w:multiLevelType w:val="multilevel"/>
    <w:tmpl w:val="4A365DA6"/>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611"/>
    <w:rsid w:val="00401611"/>
    <w:rsid w:val="005C2C64"/>
    <w:rsid w:val="00841205"/>
    <w:rsid w:val="008F7739"/>
    <w:rsid w:val="00A1625A"/>
    <w:rsid w:val="00CB3077"/>
    <w:rsid w:val="00D34D69"/>
    <w:rsid w:val="00E13432"/>
    <w:rsid w:val="00F8795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01611"/>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401611"/>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1611"/>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401611"/>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401611"/>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01611"/>
    <w:rPr>
      <w:b/>
      <w:bCs/>
    </w:rPr>
  </w:style>
  <w:style w:type="paragraph" w:styleId="BalloonText">
    <w:name w:val="Balloon Text"/>
    <w:basedOn w:val="Normal"/>
    <w:link w:val="BalloonTextChar"/>
    <w:uiPriority w:val="99"/>
    <w:semiHidden/>
    <w:unhideWhenUsed/>
    <w:rsid w:val="004016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1611"/>
    <w:rPr>
      <w:rFonts w:ascii="Tahoma" w:hAnsi="Tahoma" w:cs="Tahoma"/>
      <w:sz w:val="16"/>
      <w:szCs w:val="16"/>
    </w:rPr>
  </w:style>
  <w:style w:type="paragraph" w:styleId="FootnoteText">
    <w:name w:val="footnote text"/>
    <w:basedOn w:val="Normal"/>
    <w:link w:val="FootnoteTextChar"/>
    <w:uiPriority w:val="99"/>
    <w:semiHidden/>
    <w:unhideWhenUsed/>
    <w:rsid w:val="0040161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1611"/>
    <w:rPr>
      <w:sz w:val="20"/>
      <w:szCs w:val="20"/>
    </w:rPr>
  </w:style>
  <w:style w:type="character" w:styleId="FootnoteReference">
    <w:name w:val="footnote reference"/>
    <w:basedOn w:val="DefaultParagraphFont"/>
    <w:uiPriority w:val="99"/>
    <w:semiHidden/>
    <w:unhideWhenUsed/>
    <w:rsid w:val="0040161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01611"/>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401611"/>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1611"/>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401611"/>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401611"/>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01611"/>
    <w:rPr>
      <w:b/>
      <w:bCs/>
    </w:rPr>
  </w:style>
  <w:style w:type="paragraph" w:styleId="BalloonText">
    <w:name w:val="Balloon Text"/>
    <w:basedOn w:val="Normal"/>
    <w:link w:val="BalloonTextChar"/>
    <w:uiPriority w:val="99"/>
    <w:semiHidden/>
    <w:unhideWhenUsed/>
    <w:rsid w:val="004016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1611"/>
    <w:rPr>
      <w:rFonts w:ascii="Tahoma" w:hAnsi="Tahoma" w:cs="Tahoma"/>
      <w:sz w:val="16"/>
      <w:szCs w:val="16"/>
    </w:rPr>
  </w:style>
  <w:style w:type="paragraph" w:styleId="FootnoteText">
    <w:name w:val="footnote text"/>
    <w:basedOn w:val="Normal"/>
    <w:link w:val="FootnoteTextChar"/>
    <w:uiPriority w:val="99"/>
    <w:semiHidden/>
    <w:unhideWhenUsed/>
    <w:rsid w:val="0040161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1611"/>
    <w:rPr>
      <w:sz w:val="20"/>
      <w:szCs w:val="20"/>
    </w:rPr>
  </w:style>
  <w:style w:type="character" w:styleId="FootnoteReference">
    <w:name w:val="footnote reference"/>
    <w:basedOn w:val="DefaultParagraphFont"/>
    <w:uiPriority w:val="99"/>
    <w:semiHidden/>
    <w:unhideWhenUsed/>
    <w:rsid w:val="004016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6218580">
      <w:bodyDiv w:val="1"/>
      <w:marLeft w:val="0"/>
      <w:marRight w:val="0"/>
      <w:marTop w:val="0"/>
      <w:marBottom w:val="0"/>
      <w:divBdr>
        <w:top w:val="none" w:sz="0" w:space="0" w:color="auto"/>
        <w:left w:val="none" w:sz="0" w:space="0" w:color="auto"/>
        <w:bottom w:val="none" w:sz="0" w:space="0" w:color="auto"/>
        <w:right w:val="none" w:sz="0" w:space="0" w:color="auto"/>
      </w:divBdr>
      <w:divsChild>
        <w:div w:id="8620126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3AC5BD-C0F2-4A16-94AB-B0D3F11A2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449</TotalTime>
  <Pages>7</Pages>
  <Words>2801</Words>
  <Characters>15966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2020-04-12T06:54:00Z</dcterms:created>
  <dcterms:modified xsi:type="dcterms:W3CDTF">2020-04-12T14:23:00Z</dcterms:modified>
</cp:coreProperties>
</file>