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4A7" w:rsidRPr="000454A7" w:rsidRDefault="000454A7" w:rsidP="000454A7">
      <w:pPr>
        <w:spacing w:after="0" w:line="240" w:lineRule="auto"/>
        <w:rPr>
          <w:rFonts w:ascii="Times New Roman" w:eastAsia="Times New Roman" w:hAnsi="Times New Roman" w:cs="Times New Roman"/>
          <w:sz w:val="24"/>
          <w:szCs w:val="24"/>
          <w:lang w:eastAsia="en-PH"/>
        </w:rPr>
      </w:pPr>
      <w:bookmarkStart w:id="0" w:name="_GoBack"/>
      <w:bookmarkEnd w:id="0"/>
      <w:r w:rsidRPr="000454A7">
        <w:rPr>
          <w:rFonts w:ascii="Verdana" w:eastAsia="Times New Roman" w:hAnsi="Verdana" w:cs="Times New Roman"/>
          <w:color w:val="000000"/>
          <w:lang w:eastAsia="en-PH"/>
        </w:rPr>
        <w:t>361 Phil. 916 </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
    <w:p w:rsidR="000454A7" w:rsidRPr="000454A7" w:rsidRDefault="000454A7" w:rsidP="000454A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0454A7">
        <w:rPr>
          <w:rFonts w:ascii="Verdana" w:eastAsia="Times New Roman" w:hAnsi="Verdana" w:cs="Times New Roman"/>
          <w:b/>
          <w:bCs/>
          <w:color w:val="000000"/>
          <w:sz w:val="36"/>
          <w:szCs w:val="36"/>
          <w:lang w:eastAsia="en-PH"/>
        </w:rPr>
        <w:t>SECOND DIVISION</w:t>
      </w:r>
    </w:p>
    <w:p w:rsidR="000454A7" w:rsidRPr="000454A7" w:rsidRDefault="000454A7" w:rsidP="000454A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0454A7">
        <w:rPr>
          <w:rFonts w:ascii="Verdana" w:eastAsia="Times New Roman" w:hAnsi="Verdana" w:cs="Times New Roman"/>
          <w:b/>
          <w:bCs/>
          <w:color w:val="000000"/>
          <w:sz w:val="36"/>
          <w:szCs w:val="36"/>
          <w:lang w:eastAsia="en-PH"/>
        </w:rPr>
        <w:t>[ G.R</w:t>
      </w:r>
      <w:proofErr w:type="gramEnd"/>
      <w:r w:rsidRPr="000454A7">
        <w:rPr>
          <w:rFonts w:ascii="Verdana" w:eastAsia="Times New Roman" w:hAnsi="Verdana" w:cs="Times New Roman"/>
          <w:b/>
          <w:bCs/>
          <w:color w:val="000000"/>
          <w:sz w:val="36"/>
          <w:szCs w:val="36"/>
          <w:lang w:eastAsia="en-PH"/>
        </w:rPr>
        <w:t>. No. 112024, January 28, 1999 ]</w:t>
      </w:r>
    </w:p>
    <w:p w:rsidR="000454A7" w:rsidRPr="000454A7" w:rsidRDefault="000454A7" w:rsidP="000454A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0454A7">
        <w:rPr>
          <w:rFonts w:ascii="Verdana" w:eastAsia="Times New Roman" w:hAnsi="Verdana" w:cs="Times New Roman"/>
          <w:b/>
          <w:bCs/>
          <w:color w:val="000000"/>
          <w:sz w:val="27"/>
          <w:szCs w:val="27"/>
          <w:lang w:eastAsia="en-PH"/>
        </w:rPr>
        <w:t>PHILIPPINE BANK OF COMMUNICATIONS, PETITIONER, VS.</w:t>
      </w:r>
      <w:proofErr w:type="gramEnd"/>
      <w:r w:rsidRPr="000454A7">
        <w:rPr>
          <w:rFonts w:ascii="Verdana" w:eastAsia="Times New Roman" w:hAnsi="Verdana" w:cs="Times New Roman"/>
          <w:b/>
          <w:bCs/>
          <w:color w:val="000000"/>
          <w:sz w:val="27"/>
          <w:szCs w:val="27"/>
          <w:lang w:eastAsia="en-PH"/>
        </w:rPr>
        <w:t xml:space="preserve"> </w:t>
      </w:r>
      <w:proofErr w:type="gramStart"/>
      <w:r w:rsidRPr="000454A7">
        <w:rPr>
          <w:rFonts w:ascii="Verdana" w:eastAsia="Times New Roman" w:hAnsi="Verdana" w:cs="Times New Roman"/>
          <w:b/>
          <w:bCs/>
          <w:color w:val="000000"/>
          <w:sz w:val="27"/>
          <w:szCs w:val="27"/>
          <w:lang w:eastAsia="en-PH"/>
        </w:rPr>
        <w:t>COMMISSIONER OF INTERNAL REVENUE, COURT OF TAX APPEALS AND COURT OF APPEALS, RESPONDENTS.</w:t>
      </w:r>
      <w:proofErr w:type="gramEnd"/>
      <w:r w:rsidRPr="000454A7">
        <w:rPr>
          <w:rFonts w:ascii="Verdana" w:eastAsia="Times New Roman" w:hAnsi="Verdana" w:cs="Times New Roman"/>
          <w:b/>
          <w:bCs/>
          <w:color w:val="000000"/>
          <w:sz w:val="27"/>
          <w:szCs w:val="27"/>
          <w:lang w:eastAsia="en-PH"/>
        </w:rPr>
        <w:br/>
      </w:r>
      <w:r w:rsidRPr="000454A7">
        <w:rPr>
          <w:rFonts w:ascii="Verdana" w:eastAsia="Times New Roman" w:hAnsi="Verdana" w:cs="Times New Roman"/>
          <w:b/>
          <w:bCs/>
          <w:color w:val="000000"/>
          <w:sz w:val="27"/>
          <w:szCs w:val="27"/>
          <w:lang w:eastAsia="en-PH"/>
        </w:rPr>
        <w:br/>
        <w:t>D E C I S I O N</w:t>
      </w:r>
    </w:p>
    <w:p w:rsidR="000454A7" w:rsidRPr="000454A7" w:rsidRDefault="000454A7" w:rsidP="000454A7">
      <w:pPr>
        <w:spacing w:before="100" w:beforeAutospacing="1" w:after="100" w:afterAutospacing="1" w:line="240" w:lineRule="auto"/>
        <w:rPr>
          <w:rFonts w:ascii="Verdana" w:eastAsia="Times New Roman" w:hAnsi="Verdana" w:cs="Times New Roman"/>
          <w:color w:val="000000"/>
          <w:lang w:eastAsia="en-PH"/>
        </w:rPr>
      </w:pPr>
      <w:r w:rsidRPr="000454A7">
        <w:rPr>
          <w:rFonts w:ascii="Verdana" w:eastAsia="Times New Roman" w:hAnsi="Verdana" w:cs="Times New Roman"/>
          <w:b/>
          <w:bCs/>
          <w:color w:val="000000"/>
          <w:lang w:eastAsia="en-PH"/>
        </w:rPr>
        <w:t>QUISUMBING, J.:</w:t>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This petition for review assails the Resolution</w:t>
      </w:r>
      <w:r w:rsidRPr="000454A7">
        <w:rPr>
          <w:rFonts w:ascii="Verdana" w:eastAsia="Times New Roman" w:hAnsi="Verdana" w:cs="Times New Roman"/>
          <w:color w:val="FF0000"/>
          <w:vertAlign w:val="superscript"/>
          <w:lang w:eastAsia="en-PH"/>
        </w:rPr>
        <w:t>[1]</w:t>
      </w:r>
      <w:r w:rsidRPr="000454A7">
        <w:rPr>
          <w:rFonts w:ascii="Verdana" w:eastAsia="Times New Roman" w:hAnsi="Verdana" w:cs="Times New Roman"/>
          <w:color w:val="000000"/>
          <w:lang w:eastAsia="en-PH"/>
        </w:rPr>
        <w:t> of the Court of Appeals dated September 22, 1993, </w:t>
      </w:r>
      <w:r w:rsidRPr="000454A7">
        <w:rPr>
          <w:rFonts w:ascii="Verdana" w:eastAsia="Times New Roman" w:hAnsi="Verdana" w:cs="Times New Roman"/>
          <w:color w:val="000000"/>
          <w:u w:val="single"/>
          <w:lang w:eastAsia="en-PH"/>
        </w:rPr>
        <w:t>affirming</w:t>
      </w:r>
      <w:r w:rsidRPr="000454A7">
        <w:rPr>
          <w:rFonts w:ascii="Verdana" w:eastAsia="Times New Roman" w:hAnsi="Verdana" w:cs="Times New Roman"/>
          <w:color w:val="000000"/>
          <w:lang w:eastAsia="en-PH"/>
        </w:rPr>
        <w:t> the Decision</w:t>
      </w:r>
      <w:r w:rsidRPr="000454A7">
        <w:rPr>
          <w:rFonts w:ascii="Verdana" w:eastAsia="Times New Roman" w:hAnsi="Verdana" w:cs="Times New Roman"/>
          <w:color w:val="FF0000"/>
          <w:vertAlign w:val="superscript"/>
          <w:lang w:eastAsia="en-PH"/>
        </w:rPr>
        <w:t>[2]</w:t>
      </w:r>
      <w:r w:rsidRPr="000454A7">
        <w:rPr>
          <w:rFonts w:ascii="Verdana" w:eastAsia="Times New Roman" w:hAnsi="Verdana" w:cs="Times New Roman"/>
          <w:color w:val="000000"/>
          <w:lang w:eastAsia="en-PH"/>
        </w:rPr>
        <w:t> and Resolution</w:t>
      </w:r>
      <w:r w:rsidRPr="000454A7">
        <w:rPr>
          <w:rFonts w:ascii="Verdana" w:eastAsia="Times New Roman" w:hAnsi="Verdana" w:cs="Times New Roman"/>
          <w:color w:val="FF0000"/>
          <w:vertAlign w:val="superscript"/>
          <w:lang w:eastAsia="en-PH"/>
        </w:rPr>
        <w:t>[3]</w:t>
      </w:r>
      <w:r w:rsidRPr="000454A7">
        <w:rPr>
          <w:rFonts w:ascii="Verdana" w:eastAsia="Times New Roman" w:hAnsi="Verdana" w:cs="Times New Roman"/>
          <w:color w:val="000000"/>
          <w:lang w:eastAsia="en-PH"/>
        </w:rPr>
        <w:t> of the Court of Tax Appeals which denied the claims of the petitioner for tax refund and tax credits, and </w:t>
      </w:r>
      <w:r w:rsidRPr="000454A7">
        <w:rPr>
          <w:rFonts w:ascii="Verdana" w:eastAsia="Times New Roman" w:hAnsi="Verdana" w:cs="Times New Roman"/>
          <w:color w:val="000000"/>
          <w:u w:val="single"/>
          <w:lang w:eastAsia="en-PH"/>
        </w:rPr>
        <w:t>disposing</w:t>
      </w:r>
      <w:r w:rsidRPr="000454A7">
        <w:rPr>
          <w:rFonts w:ascii="Verdana" w:eastAsia="Times New Roman" w:hAnsi="Verdana" w:cs="Times New Roman"/>
          <w:color w:val="000000"/>
          <w:lang w:eastAsia="en-PH"/>
        </w:rPr>
        <w:t> as follows:</w:t>
      </w:r>
    </w:p>
    <w:p w:rsidR="000454A7" w:rsidRPr="000454A7" w:rsidRDefault="000454A7" w:rsidP="000454A7">
      <w:pPr>
        <w:spacing w:after="0" w:line="240" w:lineRule="auto"/>
        <w:rPr>
          <w:rFonts w:ascii="Verdana" w:eastAsia="Times New Roman" w:hAnsi="Verdana" w:cs="Times New Roman"/>
          <w:color w:val="000000"/>
          <w:lang w:eastAsia="en-PH"/>
        </w:rPr>
      </w:pP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b/>
          <w:bCs/>
          <w:color w:val="000000"/>
          <w:lang w:eastAsia="en-PH"/>
        </w:rPr>
        <w:t>IN VIEW OF ALL THE FOREGOING</w:t>
      </w:r>
      <w:r w:rsidRPr="000454A7">
        <w:rPr>
          <w:rFonts w:ascii="Verdana" w:eastAsia="Times New Roman" w:hAnsi="Verdana" w:cs="Times New Roman"/>
          <w:color w:val="000000"/>
          <w:lang w:eastAsia="en-PH"/>
        </w:rPr>
        <w:t>, the instant petition for review is DENIED due course.</w:t>
      </w:r>
      <w:proofErr w:type="gramEnd"/>
      <w:r w:rsidRPr="000454A7">
        <w:rPr>
          <w:rFonts w:ascii="Verdana" w:eastAsia="Times New Roman" w:hAnsi="Verdana" w:cs="Times New Roman"/>
          <w:color w:val="000000"/>
          <w:lang w:eastAsia="en-PH"/>
        </w:rPr>
        <w:t>  The Decision of the Court of Tax Appeals dated May 20, 1993 and its resolution dated July 20, 1993, are hereby AFFIRMED </w:t>
      </w:r>
      <w:r w:rsidRPr="000454A7">
        <w:rPr>
          <w:rFonts w:ascii="Verdana" w:eastAsia="Times New Roman" w:hAnsi="Verdana" w:cs="Times New Roman"/>
          <w:i/>
          <w:iCs/>
          <w:color w:val="000000"/>
          <w:lang w:eastAsia="en-PH"/>
        </w:rPr>
        <w:t>in</w:t>
      </w:r>
      <w:r w:rsidRPr="000454A7">
        <w:rPr>
          <w:rFonts w:ascii="Verdana" w:eastAsia="Times New Roman" w:hAnsi="Verdana" w:cs="Times New Roman"/>
          <w:color w:val="000000"/>
          <w:lang w:eastAsia="en-PH"/>
        </w:rPr>
        <w:t> </w:t>
      </w:r>
      <w:proofErr w:type="spellStart"/>
      <w:r w:rsidRPr="000454A7">
        <w:rPr>
          <w:rFonts w:ascii="Verdana" w:eastAsia="Times New Roman" w:hAnsi="Verdana" w:cs="Times New Roman"/>
          <w:i/>
          <w:iCs/>
          <w:color w:val="000000"/>
          <w:lang w:eastAsia="en-PH"/>
        </w:rPr>
        <w:t>toto</w:t>
      </w:r>
      <w:proofErr w:type="spellEnd"/>
      <w:r w:rsidRPr="000454A7">
        <w:rPr>
          <w:rFonts w:ascii="Verdana" w:eastAsia="Times New Roman" w:hAnsi="Verdana" w:cs="Times New Roman"/>
          <w:i/>
          <w:iCs/>
          <w:color w:val="000000"/>
          <w:lang w:eastAsia="en-PH"/>
        </w:rPr>
        <w:t>.</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roofErr w:type="gramStart"/>
      <w:r w:rsidRPr="000454A7">
        <w:rPr>
          <w:rFonts w:ascii="Verdana" w:eastAsia="Times New Roman" w:hAnsi="Verdana" w:cs="Times New Roman"/>
          <w:b/>
          <w:bCs/>
          <w:color w:val="000000"/>
          <w:lang w:eastAsia="en-PH"/>
        </w:rPr>
        <w:t>SO ORDERED.</w:t>
      </w:r>
      <w:r w:rsidRPr="000454A7">
        <w:rPr>
          <w:rFonts w:ascii="Verdana" w:eastAsia="Times New Roman" w:hAnsi="Verdana" w:cs="Times New Roman"/>
          <w:color w:val="000000"/>
          <w:lang w:eastAsia="en-PH"/>
        </w:rPr>
        <w:t>”</w:t>
      </w:r>
      <w:proofErr w:type="gramEnd"/>
      <w:r w:rsidRPr="000454A7">
        <w:rPr>
          <w:rFonts w:ascii="Verdana" w:eastAsia="Times New Roman" w:hAnsi="Verdana" w:cs="Times New Roman"/>
          <w:color w:val="FF0000"/>
          <w:vertAlign w:val="superscript"/>
          <w:lang w:eastAsia="en-PH"/>
        </w:rPr>
        <w:t>[4</w:t>
      </w:r>
      <w:proofErr w:type="gramStart"/>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The Court of Tax Appeals earlier ruled as follows: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w:t>
      </w:r>
      <w:r w:rsidRPr="000454A7">
        <w:rPr>
          <w:rFonts w:ascii="Verdana" w:eastAsia="Times New Roman" w:hAnsi="Verdana" w:cs="Times New Roman"/>
          <w:b/>
          <w:bCs/>
          <w:color w:val="000000"/>
          <w:lang w:eastAsia="en-PH"/>
        </w:rPr>
        <w:t>WHEREFORE</w:t>
      </w:r>
      <w:r w:rsidRPr="000454A7">
        <w:rPr>
          <w:rFonts w:ascii="Verdana" w:eastAsia="Times New Roman" w:hAnsi="Verdana" w:cs="Times New Roman"/>
          <w:color w:val="000000"/>
          <w:lang w:eastAsia="en-PH"/>
        </w:rPr>
        <w:t xml:space="preserve">, petitioner’s claim for refund/tax credit of overpaid income tax for 1985 in the amount of P5,299,749.95 is hereby denied for having been filed beyond the </w:t>
      </w:r>
      <w:proofErr w:type="spellStart"/>
      <w:r w:rsidRPr="000454A7">
        <w:rPr>
          <w:rFonts w:ascii="Verdana" w:eastAsia="Times New Roman" w:hAnsi="Verdana" w:cs="Times New Roman"/>
          <w:color w:val="000000"/>
          <w:lang w:eastAsia="en-PH"/>
        </w:rPr>
        <w:t>reglementary</w:t>
      </w:r>
      <w:proofErr w:type="spellEnd"/>
      <w:r w:rsidRPr="000454A7">
        <w:rPr>
          <w:rFonts w:ascii="Verdana" w:eastAsia="Times New Roman" w:hAnsi="Verdana" w:cs="Times New Roman"/>
          <w:color w:val="000000"/>
          <w:lang w:eastAsia="en-PH"/>
        </w:rPr>
        <w:t xml:space="preserve"> period.  The 1986 claim for refund amounting to P234</w:t>
      </w:r>
      <w:proofErr w:type="gramStart"/>
      <w:r w:rsidRPr="000454A7">
        <w:rPr>
          <w:rFonts w:ascii="Verdana" w:eastAsia="Times New Roman" w:hAnsi="Verdana" w:cs="Times New Roman"/>
          <w:color w:val="000000"/>
          <w:lang w:eastAsia="en-PH"/>
        </w:rPr>
        <w:t>,077.69</w:t>
      </w:r>
      <w:proofErr w:type="gramEnd"/>
      <w:r w:rsidRPr="000454A7">
        <w:rPr>
          <w:rFonts w:ascii="Verdana" w:eastAsia="Times New Roman" w:hAnsi="Verdana" w:cs="Times New Roman"/>
          <w:color w:val="000000"/>
          <w:lang w:eastAsia="en-PH"/>
        </w:rPr>
        <w:t xml:space="preserve"> is likewise denied since petitioner has opted and in all likelihood automatically credited the same to the succeeding year.  The petition for review is dismissed for lack of merit.</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roofErr w:type="gramStart"/>
      <w:r w:rsidRPr="000454A7">
        <w:rPr>
          <w:rFonts w:ascii="Verdana" w:eastAsia="Times New Roman" w:hAnsi="Verdana" w:cs="Times New Roman"/>
          <w:b/>
          <w:bCs/>
          <w:color w:val="000000"/>
          <w:lang w:eastAsia="en-PH"/>
        </w:rPr>
        <w:t>SO ORDERED.</w:t>
      </w:r>
      <w:r w:rsidRPr="000454A7">
        <w:rPr>
          <w:rFonts w:ascii="Verdana" w:eastAsia="Times New Roman" w:hAnsi="Verdana" w:cs="Times New Roman"/>
          <w:color w:val="000000"/>
          <w:lang w:eastAsia="en-PH"/>
        </w:rPr>
        <w:t>”</w:t>
      </w:r>
      <w:proofErr w:type="gramEnd"/>
      <w:r w:rsidRPr="000454A7">
        <w:rPr>
          <w:rFonts w:ascii="Verdana" w:eastAsia="Times New Roman" w:hAnsi="Verdana" w:cs="Times New Roman"/>
          <w:color w:val="FF0000"/>
          <w:vertAlign w:val="superscript"/>
          <w:lang w:eastAsia="en-PH"/>
        </w:rPr>
        <w:t>[5]</w:t>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The facts on record show the antecedent circumstances pertinent to this case.</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Petitioner, Philippine Bank of Communications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a commercial banking corporation duly organized under Philippine laws, filed its quarterly income tax returns for the first and second quarters of 1985, reported profits, and paid the total income tax of P5</w:t>
      </w:r>
      <w:proofErr w:type="gramStart"/>
      <w:r w:rsidRPr="000454A7">
        <w:rPr>
          <w:rFonts w:ascii="Verdana" w:eastAsia="Times New Roman" w:hAnsi="Verdana" w:cs="Times New Roman"/>
          <w:color w:val="000000"/>
          <w:lang w:eastAsia="en-PH"/>
        </w:rPr>
        <w:t>,016,954.00</w:t>
      </w:r>
      <w:proofErr w:type="gramEnd"/>
      <w:r w:rsidRPr="000454A7">
        <w:rPr>
          <w:rFonts w:ascii="Verdana" w:eastAsia="Times New Roman" w:hAnsi="Verdana" w:cs="Times New Roman"/>
          <w:color w:val="000000"/>
          <w:lang w:eastAsia="en-PH"/>
        </w:rPr>
        <w:t xml:space="preserve">.  The taxes due were settled by applying </w:t>
      </w:r>
      <w:proofErr w:type="spellStart"/>
      <w:r w:rsidRPr="000454A7">
        <w:rPr>
          <w:rFonts w:ascii="Verdana" w:eastAsia="Times New Roman" w:hAnsi="Verdana" w:cs="Times New Roman"/>
          <w:color w:val="000000"/>
          <w:lang w:eastAsia="en-PH"/>
        </w:rPr>
        <w:t>PBCom’s</w:t>
      </w:r>
      <w:proofErr w:type="spellEnd"/>
      <w:r w:rsidRPr="000454A7">
        <w:rPr>
          <w:rFonts w:ascii="Verdana" w:eastAsia="Times New Roman" w:hAnsi="Verdana" w:cs="Times New Roman"/>
          <w:color w:val="000000"/>
          <w:lang w:eastAsia="en-PH"/>
        </w:rPr>
        <w:t xml:space="preserve"> tax credit memos and accordingly, the Bureau of Internal Revenue (BIR) issued Tax Debit Memo Nos. 0746-85 and 0747-85 for P3,401,701.00 and P1, 615,253.00, respectively.</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 xml:space="preserve">Subsequently, however,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xml:space="preserve"> suffered losses so that when it filed its Annual Income Tax Returns for the year-ended December 31, 1985, it declared a net loss of P25</w:t>
      </w:r>
      <w:proofErr w:type="gramStart"/>
      <w:r w:rsidRPr="000454A7">
        <w:rPr>
          <w:rFonts w:ascii="Verdana" w:eastAsia="Times New Roman" w:hAnsi="Verdana" w:cs="Times New Roman"/>
          <w:color w:val="000000"/>
          <w:lang w:eastAsia="en-PH"/>
        </w:rPr>
        <w:t>,317,228.00</w:t>
      </w:r>
      <w:proofErr w:type="gramEnd"/>
      <w:r w:rsidRPr="000454A7">
        <w:rPr>
          <w:rFonts w:ascii="Verdana" w:eastAsia="Times New Roman" w:hAnsi="Verdana" w:cs="Times New Roman"/>
          <w:color w:val="000000"/>
          <w:lang w:eastAsia="en-PH"/>
        </w:rPr>
        <w:t xml:space="preserve">, thereby showing no income tax liability.  For the </w:t>
      </w:r>
      <w:r w:rsidRPr="000454A7">
        <w:rPr>
          <w:rFonts w:ascii="Verdana" w:eastAsia="Times New Roman" w:hAnsi="Verdana" w:cs="Times New Roman"/>
          <w:color w:val="000000"/>
          <w:lang w:eastAsia="en-PH"/>
        </w:rPr>
        <w:lastRenderedPageBreak/>
        <w:t>succeeding year, ending December 31, 1986, the petitioner likewise reported a net loss of P14</w:t>
      </w:r>
      <w:proofErr w:type="gramStart"/>
      <w:r w:rsidRPr="000454A7">
        <w:rPr>
          <w:rFonts w:ascii="Verdana" w:eastAsia="Times New Roman" w:hAnsi="Verdana" w:cs="Times New Roman"/>
          <w:color w:val="000000"/>
          <w:lang w:eastAsia="en-PH"/>
        </w:rPr>
        <w:t>,129,602.00</w:t>
      </w:r>
      <w:proofErr w:type="gramEnd"/>
      <w:r w:rsidRPr="000454A7">
        <w:rPr>
          <w:rFonts w:ascii="Verdana" w:eastAsia="Times New Roman" w:hAnsi="Verdana" w:cs="Times New Roman"/>
          <w:color w:val="000000"/>
          <w:lang w:eastAsia="en-PH"/>
        </w:rPr>
        <w:t>, and thus declared no tax payable for the year.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 xml:space="preserve">But during these two years,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xml:space="preserve"> earned rental income from leased properties.  The lessees withheld and remitted to the BIR withholding creditable taxes of P282</w:t>
      </w:r>
      <w:proofErr w:type="gramStart"/>
      <w:r w:rsidRPr="000454A7">
        <w:rPr>
          <w:rFonts w:ascii="Verdana" w:eastAsia="Times New Roman" w:hAnsi="Verdana" w:cs="Times New Roman"/>
          <w:color w:val="000000"/>
          <w:lang w:eastAsia="en-PH"/>
        </w:rPr>
        <w:t>,795.50</w:t>
      </w:r>
      <w:proofErr w:type="gramEnd"/>
      <w:r w:rsidRPr="000454A7">
        <w:rPr>
          <w:rFonts w:ascii="Verdana" w:eastAsia="Times New Roman" w:hAnsi="Verdana" w:cs="Times New Roman"/>
          <w:color w:val="000000"/>
          <w:lang w:eastAsia="en-PH"/>
        </w:rPr>
        <w:t xml:space="preserve"> in 1985 and P234,077.69 in 1986.</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On August 7, 1987, petitioner requested the Commissioner of Internal Revenue, among others, for a tax credit of P5</w:t>
      </w:r>
      <w:proofErr w:type="gramStart"/>
      <w:r w:rsidRPr="000454A7">
        <w:rPr>
          <w:rFonts w:ascii="Verdana" w:eastAsia="Times New Roman" w:hAnsi="Verdana" w:cs="Times New Roman"/>
          <w:color w:val="000000"/>
          <w:lang w:eastAsia="en-PH"/>
        </w:rPr>
        <w:t>,016,954.00</w:t>
      </w:r>
      <w:proofErr w:type="gramEnd"/>
      <w:r w:rsidRPr="000454A7">
        <w:rPr>
          <w:rFonts w:ascii="Verdana" w:eastAsia="Times New Roman" w:hAnsi="Verdana" w:cs="Times New Roman"/>
          <w:color w:val="000000"/>
          <w:lang w:eastAsia="en-PH"/>
        </w:rPr>
        <w:t xml:space="preserve"> representing the overpayment of taxes in the first and second quarters of 1985. </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Thereafter, on July 25, 1988, petitioner filed a claim for refund of creditable taxes withheld by their lessees from property rentals in 1985 for</w:t>
      </w:r>
      <w:proofErr w:type="gramStart"/>
      <w:r w:rsidRPr="000454A7">
        <w:rPr>
          <w:rFonts w:ascii="Verdana" w:eastAsia="Times New Roman" w:hAnsi="Verdana" w:cs="Times New Roman"/>
          <w:color w:val="000000"/>
          <w:lang w:eastAsia="en-PH"/>
        </w:rPr>
        <w:t>  P282,795.50</w:t>
      </w:r>
      <w:proofErr w:type="gramEnd"/>
      <w:r w:rsidRPr="000454A7">
        <w:rPr>
          <w:rFonts w:ascii="Verdana" w:eastAsia="Times New Roman" w:hAnsi="Verdana" w:cs="Times New Roman"/>
          <w:color w:val="000000"/>
          <w:lang w:eastAsia="en-PH"/>
        </w:rPr>
        <w:t>  and in 1986 for P234,077.69.</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Pending the investigation of the respondent Commissioner of Internal Revenue, petitioner instituted a Petition for Review on November 18, 1988 before the Court of Tax Appeals (CTA).  The petition was docketed as CTA Case No. 4309 entitled:  “Philippine Bank of Communications vs. Commissioner of Internal Revenue.”</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The losses petitioner incurred as per the summary of petitioner’s claims for refund and tax credit for</w:t>
      </w:r>
      <w:proofErr w:type="gramStart"/>
      <w:r w:rsidRPr="000454A7">
        <w:rPr>
          <w:rFonts w:ascii="Verdana" w:eastAsia="Times New Roman" w:hAnsi="Verdana" w:cs="Times New Roman"/>
          <w:color w:val="000000"/>
          <w:lang w:eastAsia="en-PH"/>
        </w:rPr>
        <w:t>  1985</w:t>
      </w:r>
      <w:proofErr w:type="gramEnd"/>
      <w:r w:rsidRPr="000454A7">
        <w:rPr>
          <w:rFonts w:ascii="Verdana" w:eastAsia="Times New Roman" w:hAnsi="Verdana" w:cs="Times New Roman"/>
          <w:color w:val="000000"/>
          <w:lang w:eastAsia="en-PH"/>
        </w:rPr>
        <w:t xml:space="preserve"> and 1986, filed before the Court of Tax Appeals, are as follows:</w:t>
      </w:r>
    </w:p>
    <w:p w:rsidR="000454A7" w:rsidRPr="000454A7" w:rsidRDefault="000454A7" w:rsidP="000454A7">
      <w:pPr>
        <w:spacing w:after="0" w:line="240" w:lineRule="auto"/>
        <w:rPr>
          <w:rFonts w:ascii="Verdana" w:eastAsia="Times New Roman" w:hAnsi="Verdana" w:cs="Times New Roman"/>
          <w:color w:val="000000"/>
          <w:lang w:eastAsia="en-P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73"/>
        <w:gridCol w:w="2989"/>
        <w:gridCol w:w="2720"/>
        <w:gridCol w:w="2735"/>
      </w:tblGrid>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 </w:t>
            </w:r>
          </w:p>
        </w:tc>
        <w:tc>
          <w:tcPr>
            <w:tcW w:w="1500" w:type="pct"/>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u w:val="single"/>
                <w:lang w:eastAsia="en-PH"/>
              </w:rPr>
              <w:t>1985</w:t>
            </w:r>
          </w:p>
        </w:tc>
        <w:tc>
          <w:tcPr>
            <w:tcW w:w="1500" w:type="pct"/>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u w:val="single"/>
                <w:lang w:eastAsia="en-PH"/>
              </w:rPr>
              <w:t>1986</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Net Income (Loss)</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(P25,317,228.00)</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(P14,129,602.00)</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Tax Due</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NIL</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NIL</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Quarterly tax</w:t>
            </w: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p>
        </w:tc>
      </w:tr>
      <w:tr w:rsidR="000454A7" w:rsidRPr="000454A7" w:rsidTr="000454A7">
        <w:trPr>
          <w:tblCellSpacing w:w="15" w:type="dxa"/>
        </w:trPr>
        <w:tc>
          <w:tcPr>
            <w:tcW w:w="350" w:type="pct"/>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 </w:t>
            </w:r>
          </w:p>
        </w:tc>
        <w:tc>
          <w:tcPr>
            <w:tcW w:w="1650" w:type="pct"/>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Payments Made</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5,016,954.00</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Tax Withheld at Source</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282,795.50</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234,077.69</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Excess Tax Payments</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P5,299,749.50*</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P234,077.69</w:t>
            </w:r>
          </w:p>
        </w:tc>
      </w:tr>
      <w:tr w:rsidR="000454A7" w:rsidRPr="000454A7" w:rsidTr="000454A7">
        <w:trPr>
          <w:tblCellSpacing w:w="15" w:type="dxa"/>
        </w:trPr>
        <w:tc>
          <w:tcPr>
            <w:tcW w:w="0" w:type="auto"/>
            <w:gridSpan w:val="2"/>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 </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w:t>
            </w:r>
          </w:p>
        </w:tc>
        <w:tc>
          <w:tcPr>
            <w:tcW w:w="0" w:type="auto"/>
            <w:hideMark/>
          </w:tcPr>
          <w:p w:rsidR="000454A7" w:rsidRPr="000454A7" w:rsidRDefault="000454A7" w:rsidP="000454A7">
            <w:pPr>
              <w:spacing w:after="0" w:line="240" w:lineRule="auto"/>
              <w:jc w:val="center"/>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w:t>
            </w:r>
          </w:p>
        </w:tc>
      </w:tr>
    </w:tbl>
    <w:p w:rsidR="000454A7" w:rsidRPr="000454A7" w:rsidRDefault="000454A7" w:rsidP="000454A7">
      <w:pPr>
        <w:spacing w:after="0" w:line="240" w:lineRule="auto"/>
        <w:rPr>
          <w:rFonts w:ascii="Verdana" w:eastAsia="Times New Roman" w:hAnsi="Verdana" w:cs="Times New Roman"/>
          <w:color w:val="000000"/>
          <w:lang w:eastAsia="en-PH"/>
        </w:rPr>
      </w:pPr>
    </w:p>
    <w:p w:rsidR="000454A7" w:rsidRPr="000454A7" w:rsidRDefault="000454A7" w:rsidP="000454A7">
      <w:pPr>
        <w:spacing w:after="10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*CTA’s decision reflects </w:t>
      </w:r>
      <w:proofErr w:type="spellStart"/>
      <w:r w:rsidRPr="000454A7">
        <w:rPr>
          <w:rFonts w:ascii="Verdana" w:eastAsia="Times New Roman" w:hAnsi="Verdana" w:cs="Times New Roman"/>
          <w:color w:val="000000"/>
          <w:lang w:eastAsia="en-PH"/>
        </w:rPr>
        <w:t>PBCom’s</w:t>
      </w:r>
      <w:proofErr w:type="spellEnd"/>
      <w:r w:rsidRPr="000454A7">
        <w:rPr>
          <w:rFonts w:ascii="Verdana" w:eastAsia="Times New Roman" w:hAnsi="Verdana" w:cs="Times New Roman"/>
          <w:color w:val="000000"/>
          <w:lang w:eastAsia="en-PH"/>
        </w:rPr>
        <w:t xml:space="preserve"> 1985 tax claim as P5</w:t>
      </w:r>
      <w:proofErr w:type="gramStart"/>
      <w:r w:rsidRPr="000454A7">
        <w:rPr>
          <w:rFonts w:ascii="Verdana" w:eastAsia="Times New Roman" w:hAnsi="Verdana" w:cs="Times New Roman"/>
          <w:color w:val="000000"/>
          <w:lang w:eastAsia="en-PH"/>
        </w:rPr>
        <w:t>,299,749.95</w:t>
      </w:r>
      <w:proofErr w:type="gramEnd"/>
      <w:r w:rsidRPr="000454A7">
        <w:rPr>
          <w:rFonts w:ascii="Verdana" w:eastAsia="Times New Roman" w:hAnsi="Verdana" w:cs="Times New Roman"/>
          <w:color w:val="000000"/>
          <w:lang w:eastAsia="en-PH"/>
        </w:rPr>
        <w:t>. A forty-five centavo difference was noted.</w:t>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On May 20, 1993, the CTA rendered a decision which, as stated on the outset, denied the request of petitioner for a tax refund or credit in the sum amount of P5,299,749.95, on the ground that it was filed beyond the two-year </w:t>
      </w:r>
      <w:proofErr w:type="spellStart"/>
      <w:r w:rsidRPr="000454A7">
        <w:rPr>
          <w:rFonts w:ascii="Verdana" w:eastAsia="Times New Roman" w:hAnsi="Verdana" w:cs="Times New Roman"/>
          <w:color w:val="000000"/>
          <w:lang w:eastAsia="en-PH"/>
        </w:rPr>
        <w:t>reglementary</w:t>
      </w:r>
      <w:proofErr w:type="spellEnd"/>
      <w:r w:rsidRPr="000454A7">
        <w:rPr>
          <w:rFonts w:ascii="Verdana" w:eastAsia="Times New Roman" w:hAnsi="Verdana" w:cs="Times New Roman"/>
          <w:color w:val="000000"/>
          <w:lang w:eastAsia="en-PH"/>
        </w:rPr>
        <w:t xml:space="preserve"> period provided for by law.  The petitioner’s claim for refund in 1986 amounting to P234</w:t>
      </w:r>
      <w:proofErr w:type="gramStart"/>
      <w:r w:rsidRPr="000454A7">
        <w:rPr>
          <w:rFonts w:ascii="Verdana" w:eastAsia="Times New Roman" w:hAnsi="Verdana" w:cs="Times New Roman"/>
          <w:color w:val="000000"/>
          <w:lang w:eastAsia="en-PH"/>
        </w:rPr>
        <w:t>,077.69</w:t>
      </w:r>
      <w:proofErr w:type="gramEnd"/>
      <w:r w:rsidRPr="000454A7">
        <w:rPr>
          <w:rFonts w:ascii="Verdana" w:eastAsia="Times New Roman" w:hAnsi="Verdana" w:cs="Times New Roman"/>
          <w:color w:val="000000"/>
          <w:lang w:eastAsia="en-PH"/>
        </w:rPr>
        <w:t xml:space="preserve"> was likewise denied on the assumption that it was automatically credited by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xml:space="preserve"> against its tax payment in the succeeding year.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On June 22, 1993, petitioner filed a Motion for Reconsideration of the CTA’s decision but the same was denied due course for lack of merit</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FF0000"/>
          <w:vertAlign w:val="superscript"/>
          <w:lang w:eastAsia="en-PH"/>
        </w:rPr>
        <w:t>6]</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 xml:space="preserve">Thereafter,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xml:space="preserve"> filed a petition for review of said decision and resolution of the CTA with the Court of Appeals.  However on September 22, 1993, the Court </w:t>
      </w:r>
      <w:r w:rsidRPr="000454A7">
        <w:rPr>
          <w:rFonts w:ascii="Verdana" w:eastAsia="Times New Roman" w:hAnsi="Verdana" w:cs="Times New Roman"/>
          <w:color w:val="000000"/>
          <w:lang w:eastAsia="en-PH"/>
        </w:rPr>
        <w:lastRenderedPageBreak/>
        <w:t xml:space="preserve">of Appeals affirmed in </w:t>
      </w:r>
      <w:proofErr w:type="spellStart"/>
      <w:r w:rsidRPr="000454A7">
        <w:rPr>
          <w:rFonts w:ascii="Verdana" w:eastAsia="Times New Roman" w:hAnsi="Verdana" w:cs="Times New Roman"/>
          <w:color w:val="000000"/>
          <w:lang w:eastAsia="en-PH"/>
        </w:rPr>
        <w:t>toto</w:t>
      </w:r>
      <w:proofErr w:type="spellEnd"/>
      <w:r w:rsidRPr="000454A7">
        <w:rPr>
          <w:rFonts w:ascii="Verdana" w:eastAsia="Times New Roman" w:hAnsi="Verdana" w:cs="Times New Roman"/>
          <w:color w:val="000000"/>
          <w:lang w:eastAsia="en-PH"/>
        </w:rPr>
        <w:t xml:space="preserve"> the CTA’s resolution dated July 20, 1993.  </w:t>
      </w:r>
      <w:proofErr w:type="gramStart"/>
      <w:r w:rsidRPr="000454A7">
        <w:rPr>
          <w:rFonts w:ascii="Verdana" w:eastAsia="Times New Roman" w:hAnsi="Verdana" w:cs="Times New Roman"/>
          <w:color w:val="000000"/>
          <w:lang w:eastAsia="en-PH"/>
        </w:rPr>
        <w:t>Hence this petition now before us.</w:t>
      </w:r>
      <w:proofErr w:type="gramEnd"/>
      <w:r w:rsidRPr="000454A7">
        <w:rPr>
          <w:rFonts w:ascii="Verdana" w:eastAsia="Times New Roman" w:hAnsi="Verdana" w:cs="Times New Roman"/>
          <w:color w:val="000000"/>
          <w:lang w:eastAsia="en-PH"/>
        </w:rPr>
        <w:t>  </w:t>
      </w:r>
    </w:p>
    <w:p w:rsidR="000454A7" w:rsidRPr="000454A7" w:rsidRDefault="000454A7" w:rsidP="000454A7">
      <w:pPr>
        <w:spacing w:after="24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The issues raised by the petitioner are:</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8"/>
        <w:gridCol w:w="8169"/>
      </w:tblGrid>
      <w:tr w:rsidR="000454A7" w:rsidRPr="000454A7" w:rsidTr="000454A7">
        <w:trPr>
          <w:tblCellSpacing w:w="15" w:type="dxa"/>
        </w:trPr>
        <w:tc>
          <w:tcPr>
            <w:tcW w:w="500" w:type="pct"/>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I.</w:t>
            </w: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 xml:space="preserve">Whether taxpayer </w:t>
            </w:r>
            <w:proofErr w:type="spellStart"/>
            <w:r w:rsidRPr="000454A7">
              <w:rPr>
                <w:rFonts w:ascii="Times New Roman" w:eastAsia="Times New Roman" w:hAnsi="Times New Roman" w:cs="Times New Roman"/>
                <w:sz w:val="24"/>
                <w:szCs w:val="24"/>
                <w:lang w:eastAsia="en-PH"/>
              </w:rPr>
              <w:t>PBCom</w:t>
            </w:r>
            <w:proofErr w:type="spellEnd"/>
            <w:r w:rsidRPr="000454A7">
              <w:rPr>
                <w:rFonts w:ascii="Times New Roman" w:eastAsia="Times New Roman" w:hAnsi="Times New Roman" w:cs="Times New Roman"/>
                <w:sz w:val="24"/>
                <w:szCs w:val="24"/>
                <w:lang w:eastAsia="en-PH"/>
              </w:rPr>
              <w:t xml:space="preserve"> -- which relied in good faith on the formal assurances of BIR in RMC No. 7-85 and did not immediately file with the CTA a petition for review asking for the refund/tax credit of its 1985-86 excess quarterly income tax payments -- can be prejudiced by the subsequent BIR rejection, applied retroactively, of its assurances in RMC No. 7-85 that the prescriptive period for the refund/tax credit of excess quarterly income tax payments is not two years but ten (10).</w:t>
            </w:r>
            <w:r w:rsidRPr="000454A7">
              <w:rPr>
                <w:rFonts w:ascii="Times New Roman" w:eastAsia="Times New Roman" w:hAnsi="Times New Roman" w:cs="Times New Roman"/>
                <w:color w:val="FF0000"/>
                <w:sz w:val="24"/>
                <w:szCs w:val="24"/>
                <w:vertAlign w:val="superscript"/>
                <w:lang w:eastAsia="en-PH"/>
              </w:rPr>
              <w:t>[7]</w:t>
            </w:r>
          </w:p>
        </w:tc>
      </w:tr>
      <w:tr w:rsidR="000454A7" w:rsidRPr="000454A7" w:rsidTr="000454A7">
        <w:trPr>
          <w:tblCellSpacing w:w="15" w:type="dxa"/>
        </w:trPr>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II.</w:t>
            </w: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 xml:space="preserve">Whether the Court of Appeals seriously erred in affirming the CTA decision which denied </w:t>
            </w:r>
            <w:proofErr w:type="spellStart"/>
            <w:r w:rsidRPr="000454A7">
              <w:rPr>
                <w:rFonts w:ascii="Times New Roman" w:eastAsia="Times New Roman" w:hAnsi="Times New Roman" w:cs="Times New Roman"/>
                <w:sz w:val="24"/>
                <w:szCs w:val="24"/>
                <w:lang w:eastAsia="en-PH"/>
              </w:rPr>
              <w:t>PBCom’s</w:t>
            </w:r>
            <w:proofErr w:type="spellEnd"/>
            <w:r w:rsidRPr="000454A7">
              <w:rPr>
                <w:rFonts w:ascii="Times New Roman" w:eastAsia="Times New Roman" w:hAnsi="Times New Roman" w:cs="Times New Roman"/>
                <w:sz w:val="24"/>
                <w:szCs w:val="24"/>
                <w:lang w:eastAsia="en-PH"/>
              </w:rPr>
              <w:t xml:space="preserve"> claim for the refund of P234,077.69 income tax overpaid in 1986 on the mere speculation, without proof, that there were taxes due in 1987 and that </w:t>
            </w:r>
            <w:proofErr w:type="spellStart"/>
            <w:r w:rsidRPr="000454A7">
              <w:rPr>
                <w:rFonts w:ascii="Times New Roman" w:eastAsia="Times New Roman" w:hAnsi="Times New Roman" w:cs="Times New Roman"/>
                <w:sz w:val="24"/>
                <w:szCs w:val="24"/>
                <w:lang w:eastAsia="en-PH"/>
              </w:rPr>
              <w:t>PBCom</w:t>
            </w:r>
            <w:proofErr w:type="spellEnd"/>
            <w:r w:rsidRPr="000454A7">
              <w:rPr>
                <w:rFonts w:ascii="Times New Roman" w:eastAsia="Times New Roman" w:hAnsi="Times New Roman" w:cs="Times New Roman"/>
                <w:sz w:val="24"/>
                <w:szCs w:val="24"/>
                <w:lang w:eastAsia="en-PH"/>
              </w:rPr>
              <w:t xml:space="preserve"> availed of tax-crediting that year.</w:t>
            </w:r>
            <w:r w:rsidRPr="000454A7">
              <w:rPr>
                <w:rFonts w:ascii="Times New Roman" w:eastAsia="Times New Roman" w:hAnsi="Times New Roman" w:cs="Times New Roman"/>
                <w:color w:val="FF0000"/>
                <w:sz w:val="24"/>
                <w:szCs w:val="24"/>
                <w:vertAlign w:val="superscript"/>
                <w:lang w:eastAsia="en-PH"/>
              </w:rPr>
              <w:t>[8]</w:t>
            </w:r>
          </w:p>
        </w:tc>
      </w:tr>
    </w:tbl>
    <w:p w:rsidR="000454A7" w:rsidRPr="000454A7" w:rsidRDefault="000454A7" w:rsidP="000454A7">
      <w:pPr>
        <w:spacing w:after="0" w:line="240" w:lineRule="auto"/>
        <w:rPr>
          <w:rFonts w:ascii="Verdana" w:eastAsia="Times New Roman" w:hAnsi="Verdana" w:cs="Times New Roman"/>
          <w:color w:val="000000"/>
          <w:lang w:eastAsia="en-PH"/>
        </w:rPr>
      </w:pP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Simply stated, the main question is: Whether or not the Court of Appeals erred in denying the plea for tax refund or tax credits on the ground of prescription, despite petitioner’s reliance on RMC No. 7-85, changing the prescriptive period of two years to ten years?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Petitioner argues that its claims for refund and tax credits are not yet barred by prescription relying on the applicability of Revenue Memorandum Circular No. 7-85 issued on April 1, 1985.  The circular states that overpaid income taxes are not covered by the two-year prescriptive period under the tax Code and that taxpayers may claim refund or tax credits for the excess quarterly income tax with the BIR within ten (10) years under Article 1144 of the Civil Code.  The pertinent portions of the circular reads:</w:t>
      </w:r>
    </w:p>
    <w:p w:rsidR="000454A7" w:rsidRPr="000454A7" w:rsidRDefault="000454A7" w:rsidP="000454A7">
      <w:pPr>
        <w:spacing w:after="240" w:line="240" w:lineRule="auto"/>
        <w:rPr>
          <w:rFonts w:ascii="Verdana" w:eastAsia="Times New Roman" w:hAnsi="Verdana" w:cs="Times New Roman"/>
          <w:color w:val="000000"/>
          <w:lang w:eastAsia="en-PH"/>
        </w:rPr>
      </w:pPr>
      <w:proofErr w:type="gramStart"/>
      <w:r w:rsidRPr="000454A7">
        <w:rPr>
          <w:rFonts w:ascii="Verdana" w:eastAsia="Times New Roman" w:hAnsi="Verdana" w:cs="Times New Roman"/>
          <w:color w:val="000000"/>
          <w:lang w:eastAsia="en-PH"/>
        </w:rPr>
        <w:t>“REVENUE MEMORANDUM CIRCULAR NO.</w:t>
      </w:r>
      <w:proofErr w:type="gramEnd"/>
      <w:r w:rsidRPr="000454A7">
        <w:rPr>
          <w:rFonts w:ascii="Verdana" w:eastAsia="Times New Roman" w:hAnsi="Verdana" w:cs="Times New Roman"/>
          <w:color w:val="000000"/>
          <w:lang w:eastAsia="en-PH"/>
        </w:rPr>
        <w:t xml:space="preserve"> 7-85</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56"/>
        <w:gridCol w:w="7961"/>
      </w:tblGrid>
      <w:tr w:rsidR="000454A7" w:rsidRPr="000454A7" w:rsidTr="000454A7">
        <w:trPr>
          <w:tblCellSpacing w:w="15" w:type="dxa"/>
        </w:trPr>
        <w:tc>
          <w:tcPr>
            <w:tcW w:w="500" w:type="pct"/>
            <w:vAlign w:val="center"/>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SUBJECT:</w:t>
            </w:r>
          </w:p>
        </w:tc>
        <w:tc>
          <w:tcPr>
            <w:tcW w:w="0" w:type="auto"/>
            <w:vAlign w:val="center"/>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PROCESSING OF REFUND OR TAX CREDIT OF EXCESS CORPORATE INCOME TAX RESULTING FROM THE FILING OF THE FINAL ADJUSTMENT RETURN</w:t>
            </w:r>
          </w:p>
        </w:tc>
      </w:tr>
    </w:tbl>
    <w:p w:rsidR="000454A7" w:rsidRPr="000454A7" w:rsidRDefault="000454A7" w:rsidP="000454A7">
      <w:pPr>
        <w:spacing w:after="24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br/>
        <w:t>TO: All Internal Revenue Officers and Others Concerned</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Sections 85 and 86 of the National Internal Revenue Code provide:</w:t>
      </w:r>
    </w:p>
    <w:p w:rsidR="000454A7" w:rsidRPr="000454A7" w:rsidRDefault="000454A7" w:rsidP="000454A7">
      <w:pPr>
        <w:spacing w:after="0" w:line="240" w:lineRule="auto"/>
        <w:jc w:val="center"/>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x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p>
    <w:p w:rsidR="000454A7" w:rsidRPr="000454A7" w:rsidRDefault="000454A7" w:rsidP="000454A7">
      <w:pPr>
        <w:spacing w:after="24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br/>
        <w:t>The foregoing provisions are implemented by Section 7 of Revenue Regulations Nos. 10-77 which provide:</w:t>
      </w:r>
    </w:p>
    <w:p w:rsidR="000454A7" w:rsidRPr="000454A7" w:rsidRDefault="000454A7" w:rsidP="000454A7">
      <w:pPr>
        <w:spacing w:after="0" w:line="240" w:lineRule="auto"/>
        <w:jc w:val="center"/>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x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br/>
        <w:t>It has been observed, however, that because of the excess tax payments, corporations file claims for recovery of overpaid income tax with the Court of Tax Appeals within the two-year period from the date of payment, in accordance with Sections 292 and 295 of the National Internal Revenue Code.  It is obvious that the filing of the case in court is to preserve the judicial right of the corporation to claim the refund or tax credit.</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lastRenderedPageBreak/>
        <w:br/>
        <w:t>It should be noted, however, that this is not a case of erroneously or illegally paid tax under the provisions of Sections 292 and 295 of the Tax Code.</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In the above provision of the Regulations the corporation may request for the refund of the overpaid income tax or claim for automatic tax credit.  To insure prompt action on corporate annual income tax returns showing refundable amounts arising from overpaid quarterly income taxes, this Office has promulgated Revenue Memorandum Order No. 32-76 dated June 11, 1976, containing the procedure in processing said returns.  Under these procedures, the returns are merely pre-audited which consist mainly of checking mathematical accuracy of the figures of the return.  After which, the refund or tax credit is granted, and, this procedure was adopted to facilitate immediate action on cases like this.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r w:rsidRPr="000454A7">
        <w:rPr>
          <w:rFonts w:ascii="Verdana" w:eastAsia="Times New Roman" w:hAnsi="Verdana" w:cs="Times New Roman"/>
          <w:b/>
          <w:bCs/>
          <w:color w:val="000000"/>
          <w:lang w:eastAsia="en-PH"/>
        </w:rPr>
        <w:t>In this regard, therefore, there is no need to file petitions for review in the Court of Tax Appeals in order to preserve the right to claim refund or tax credit within the two-year period.</w:t>
      </w:r>
      <w:r w:rsidRPr="000454A7">
        <w:rPr>
          <w:rFonts w:ascii="Verdana" w:eastAsia="Times New Roman" w:hAnsi="Verdana" w:cs="Times New Roman"/>
          <w:color w:val="000000"/>
          <w:lang w:eastAsia="en-PH"/>
        </w:rPr>
        <w:t>  As already stated, actions hereon by the Bureau are immediate after only a cursory pre-audit of the income tax returns.  Moreover, a taxpayer may recover from the Bureau of Internal Revenue excess income tax paid under the provisions of Section 86 of the Tax Code within 10 years from the date of payment considering that it is an obligation created by law (Article 1144 of the Civil Code).</w:t>
      </w:r>
      <w:r w:rsidRPr="000454A7">
        <w:rPr>
          <w:rFonts w:ascii="Verdana" w:eastAsia="Times New Roman" w:hAnsi="Verdana" w:cs="Times New Roman"/>
          <w:color w:val="FF0000"/>
          <w:vertAlign w:val="superscript"/>
          <w:lang w:eastAsia="en-PH"/>
        </w:rPr>
        <w:t>[9]</w:t>
      </w:r>
      <w:r w:rsidRPr="000454A7">
        <w:rPr>
          <w:rFonts w:ascii="Verdana" w:eastAsia="Times New Roman" w:hAnsi="Verdana" w:cs="Times New Roman"/>
          <w:color w:val="000000"/>
          <w:lang w:eastAsia="en-PH"/>
        </w:rPr>
        <w:t>  (Emphasis supplied.)</w:t>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Petitioner argues that the government is barred from asserting a position contrary to its declared circular if it would result to injustice to taxpayers.  Citing </w:t>
      </w:r>
      <w:r w:rsidRPr="000454A7">
        <w:rPr>
          <w:rFonts w:ascii="Verdana" w:eastAsia="Times New Roman" w:hAnsi="Verdana" w:cs="Times New Roman"/>
          <w:i/>
          <w:iCs/>
          <w:color w:val="000000"/>
          <w:lang w:eastAsia="en-PH"/>
        </w:rPr>
        <w:t xml:space="preserve">ABS-CBN Broadcasting Corporation vs. Court of Tax </w:t>
      </w:r>
      <w:proofErr w:type="gramStart"/>
      <w:r w:rsidRPr="000454A7">
        <w:rPr>
          <w:rFonts w:ascii="Verdana" w:eastAsia="Times New Roman" w:hAnsi="Verdana" w:cs="Times New Roman"/>
          <w:i/>
          <w:iCs/>
          <w:color w:val="000000"/>
          <w:lang w:eastAsia="en-PH"/>
        </w:rPr>
        <w:t>Appeals</w:t>
      </w:r>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FF0000"/>
          <w:vertAlign w:val="superscript"/>
          <w:lang w:eastAsia="en-PH"/>
        </w:rPr>
        <w:t>10]</w:t>
      </w:r>
      <w:r w:rsidRPr="000454A7">
        <w:rPr>
          <w:rFonts w:ascii="Verdana" w:eastAsia="Times New Roman" w:hAnsi="Verdana" w:cs="Times New Roman"/>
          <w:color w:val="000000"/>
          <w:lang w:eastAsia="en-PH"/>
        </w:rPr>
        <w:t> petitioner claims that rulings or circulars promulgated by the Commissioner of Internal Revenue have no retroactive effect if it would be prejudicial to taxpayers.  In ABS-CBN case, the Court held that the government is precluded from adopting a position inconsistent with one previously taken where injustice would result therefrom or where there has been a misrepresentation to the taxpayer.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Petitioner contends that Sec. 246 of the National Internal Revenue Code explicitly provides for this rule as follows:</w:t>
      </w:r>
    </w:p>
    <w:p w:rsidR="000454A7" w:rsidRPr="000454A7" w:rsidRDefault="000454A7" w:rsidP="000454A7">
      <w:pPr>
        <w:spacing w:after="0" w:line="240" w:lineRule="auto"/>
        <w:rPr>
          <w:rFonts w:ascii="Verdana" w:eastAsia="Times New Roman" w:hAnsi="Verdana" w:cs="Times New Roman"/>
          <w:color w:val="000000"/>
          <w:lang w:eastAsia="en-PH"/>
        </w:rPr>
      </w:pPr>
      <w:proofErr w:type="gramStart"/>
      <w:r w:rsidRPr="000454A7">
        <w:rPr>
          <w:rFonts w:ascii="Verdana" w:eastAsia="Times New Roman" w:hAnsi="Verdana" w:cs="Times New Roman"/>
          <w:color w:val="000000"/>
          <w:lang w:eastAsia="en-PH"/>
        </w:rPr>
        <w:t>“Sec. 246.</w:t>
      </w:r>
      <w:proofErr w:type="gramEnd"/>
      <w:r w:rsidRPr="000454A7">
        <w:rPr>
          <w:rFonts w:ascii="Verdana" w:eastAsia="Times New Roman" w:hAnsi="Verdana" w:cs="Times New Roman"/>
          <w:color w:val="000000"/>
          <w:lang w:eastAsia="en-PH"/>
        </w:rPr>
        <w:t> </w:t>
      </w:r>
      <w:r w:rsidRPr="000454A7">
        <w:rPr>
          <w:rFonts w:ascii="Verdana" w:eastAsia="Times New Roman" w:hAnsi="Verdana" w:cs="Times New Roman"/>
          <w:i/>
          <w:iCs/>
          <w:color w:val="000000"/>
          <w:lang w:eastAsia="en-PH"/>
        </w:rPr>
        <w:t>Non-retroactivity of rulings</w:t>
      </w:r>
      <w:r w:rsidRPr="000454A7">
        <w:rPr>
          <w:rFonts w:ascii="Verdana" w:eastAsia="Times New Roman" w:hAnsi="Verdana" w:cs="Times New Roman"/>
          <w:color w:val="000000"/>
          <w:lang w:eastAsia="en-PH"/>
        </w:rPr>
        <w:t>-- Any revocation, modification or reversal of any of the rules and regulations promulgated in accordance with the preceding section or any of the rulings or circulars promulgated by the Commissioner shall not be given retroactive application if the revocation, modification, or reversal will be prejudicial to the taxpayers except in the following cases:</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8"/>
        <w:gridCol w:w="8169"/>
      </w:tblGrid>
      <w:tr w:rsidR="000454A7" w:rsidRPr="000454A7" w:rsidTr="000454A7">
        <w:trPr>
          <w:tblCellSpacing w:w="15" w:type="dxa"/>
        </w:trPr>
        <w:tc>
          <w:tcPr>
            <w:tcW w:w="500" w:type="pct"/>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a)</w:t>
            </w:r>
          </w:p>
        </w:tc>
        <w:tc>
          <w:tcPr>
            <w:tcW w:w="0" w:type="auto"/>
            <w:hideMark/>
          </w:tcPr>
          <w:p w:rsidR="000454A7" w:rsidRPr="000454A7" w:rsidRDefault="000454A7" w:rsidP="000454A7">
            <w:pPr>
              <w:spacing w:before="100" w:beforeAutospacing="1" w:after="100" w:afterAutospacing="1"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where the taxpayer deliberately misstates or omits material facts from his return or in any document required of him by the Bureau of Internal Revenue;</w:t>
            </w:r>
          </w:p>
        </w:tc>
      </w:tr>
      <w:tr w:rsidR="000454A7" w:rsidRPr="000454A7" w:rsidTr="000454A7">
        <w:trPr>
          <w:tblCellSpacing w:w="15" w:type="dxa"/>
        </w:trPr>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b)</w:t>
            </w: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where the facts subsequently gathered by the Bureau of Internal Revenue are materially different from the facts on which the ruling is based;</w:t>
            </w:r>
          </w:p>
        </w:tc>
      </w:tr>
      <w:tr w:rsidR="000454A7" w:rsidRPr="000454A7" w:rsidTr="000454A7">
        <w:trPr>
          <w:tblCellSpacing w:w="15" w:type="dxa"/>
        </w:trPr>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t>c)</w:t>
            </w:r>
          </w:p>
        </w:tc>
        <w:tc>
          <w:tcPr>
            <w:tcW w:w="0" w:type="auto"/>
            <w:hideMark/>
          </w:tcPr>
          <w:p w:rsidR="000454A7" w:rsidRPr="000454A7" w:rsidRDefault="000454A7" w:rsidP="000454A7">
            <w:pPr>
              <w:spacing w:after="0" w:line="240" w:lineRule="auto"/>
              <w:rPr>
                <w:rFonts w:ascii="Times New Roman" w:eastAsia="Times New Roman" w:hAnsi="Times New Roman" w:cs="Times New Roman"/>
                <w:sz w:val="24"/>
                <w:szCs w:val="24"/>
                <w:lang w:eastAsia="en-PH"/>
              </w:rPr>
            </w:pPr>
            <w:proofErr w:type="gramStart"/>
            <w:r w:rsidRPr="000454A7">
              <w:rPr>
                <w:rFonts w:ascii="Times New Roman" w:eastAsia="Times New Roman" w:hAnsi="Times New Roman" w:cs="Times New Roman"/>
                <w:sz w:val="24"/>
                <w:szCs w:val="24"/>
                <w:lang w:eastAsia="en-PH"/>
              </w:rPr>
              <w:t>where</w:t>
            </w:r>
            <w:proofErr w:type="gramEnd"/>
            <w:r w:rsidRPr="000454A7">
              <w:rPr>
                <w:rFonts w:ascii="Times New Roman" w:eastAsia="Times New Roman" w:hAnsi="Times New Roman" w:cs="Times New Roman"/>
                <w:sz w:val="24"/>
                <w:szCs w:val="24"/>
                <w:lang w:eastAsia="en-PH"/>
              </w:rPr>
              <w:t xml:space="preserve"> the taxpayer acted in bad faith.”</w:t>
            </w:r>
          </w:p>
        </w:tc>
      </w:tr>
    </w:tbl>
    <w:p w:rsidR="000454A7" w:rsidRPr="000454A7" w:rsidRDefault="000454A7" w:rsidP="000454A7">
      <w:pPr>
        <w:spacing w:after="0" w:line="240" w:lineRule="auto"/>
        <w:rPr>
          <w:rFonts w:ascii="Verdana" w:eastAsia="Times New Roman" w:hAnsi="Verdana" w:cs="Times New Roman"/>
          <w:color w:val="000000"/>
          <w:lang w:eastAsia="en-PH"/>
        </w:rPr>
      </w:pP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Respondent Commissioner of Internal Revenue, through the Solicitor General, argues that the two-year prescriptive period for filing tax cases in court concerning income tax payments of Corporations is reckoned from the date of </w:t>
      </w:r>
      <w:r w:rsidRPr="000454A7">
        <w:rPr>
          <w:rFonts w:ascii="Verdana" w:eastAsia="Times New Roman" w:hAnsi="Verdana" w:cs="Times New Roman"/>
          <w:color w:val="000000"/>
          <w:lang w:eastAsia="en-PH"/>
        </w:rPr>
        <w:lastRenderedPageBreak/>
        <w:t>filing the Final Adjusted Income Tax Return, which is generally done on April 15 following the close of the calendar year.  As precedents, respondent Commissioner cited cases which adhered to this principle, to wit:</w:t>
      </w:r>
      <w:r w:rsidRPr="000454A7">
        <w:rPr>
          <w:rFonts w:ascii="Verdana" w:eastAsia="Times New Roman" w:hAnsi="Verdana" w:cs="Times New Roman"/>
          <w:i/>
          <w:iCs/>
          <w:color w:val="000000"/>
          <w:lang w:eastAsia="en-PH"/>
        </w:rPr>
        <w:t> ACCRA Investments Corp. vs. Court of Appeals, et al.</w:t>
      </w:r>
      <w:proofErr w:type="gramStart"/>
      <w:r w:rsidRPr="000454A7">
        <w:rPr>
          <w:rFonts w:ascii="Verdana" w:eastAsia="Times New Roman" w:hAnsi="Verdana" w:cs="Times New Roman"/>
          <w:i/>
          <w:iCs/>
          <w:color w:val="000000"/>
          <w:lang w:eastAsia="en-PH"/>
        </w:rPr>
        <w:t>,</w:t>
      </w:r>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FF0000"/>
          <w:vertAlign w:val="superscript"/>
          <w:lang w:eastAsia="en-PH"/>
        </w:rPr>
        <w:t>11]</w:t>
      </w:r>
      <w:r w:rsidRPr="000454A7">
        <w:rPr>
          <w:rFonts w:ascii="Verdana" w:eastAsia="Times New Roman" w:hAnsi="Verdana" w:cs="Times New Roman"/>
          <w:color w:val="000000"/>
          <w:lang w:eastAsia="en-PH"/>
        </w:rPr>
        <w:t> and </w:t>
      </w:r>
      <w:r w:rsidRPr="000454A7">
        <w:rPr>
          <w:rFonts w:ascii="Verdana" w:eastAsia="Times New Roman" w:hAnsi="Verdana" w:cs="Times New Roman"/>
          <w:i/>
          <w:iCs/>
          <w:color w:val="000000"/>
          <w:lang w:eastAsia="en-PH"/>
        </w:rPr>
        <w:t>Commissioner of Internal Revenue vs. TMX Sales, Inc., et al..</w:t>
      </w:r>
      <w:r w:rsidRPr="000454A7">
        <w:rPr>
          <w:rFonts w:ascii="Verdana" w:eastAsia="Times New Roman" w:hAnsi="Verdana" w:cs="Times New Roman"/>
          <w:color w:val="FF0000"/>
          <w:vertAlign w:val="superscript"/>
          <w:lang w:eastAsia="en-PH"/>
        </w:rPr>
        <w:t>[12]</w:t>
      </w:r>
      <w:r w:rsidRPr="000454A7">
        <w:rPr>
          <w:rFonts w:ascii="Verdana" w:eastAsia="Times New Roman" w:hAnsi="Verdana" w:cs="Times New Roman"/>
          <w:color w:val="000000"/>
          <w:lang w:eastAsia="en-PH"/>
        </w:rPr>
        <w:t> Respondent Commissioner also states that since the Final Adjusted Income Tax Return of the petitioner for the taxable year 1985 was supposed to be filed on April 15, 1986, the latter had only until April 15, 1988 to seek relief from the court.  Further, respondent Commissioner stresses that when the petitioner filed the case before the CTA on November 18, 1988, the same was filed beyond the time fixed by law, and such failure is fatal to petitioner’s cause of action.</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After a careful study of the records and applicable jurisprudence on the matter, we find that, contrary to the petitioner’s contention, the relaxation of revenue regulations by RMC 7-85 is not warranted as it disregards the two-year prescriptive period set by law.</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Basic is the principle that “taxes are the lifeblood of the nation.”  The primary purpose is to generate funds for the State to finance the needs of the citizenry and to advance the common weal</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FF0000"/>
          <w:vertAlign w:val="superscript"/>
          <w:lang w:eastAsia="en-PH"/>
        </w:rPr>
        <w:t>13]</w:t>
      </w:r>
      <w:r w:rsidRPr="000454A7">
        <w:rPr>
          <w:rFonts w:ascii="Verdana" w:eastAsia="Times New Roman" w:hAnsi="Verdana" w:cs="Times New Roman"/>
          <w:color w:val="000000"/>
          <w:lang w:eastAsia="en-PH"/>
        </w:rPr>
        <w:t> Due process of law under the Constitution does not require judicial proceedings in tax cases.  This must necessarily be so because it is upon taxation that the government chiefly relies to obtain the means to carry on its operations and it is of utmost importance that the modes adopted to enforce the collection of taxes levied should be summary and interfered with as little as possible.</w:t>
      </w:r>
      <w:r w:rsidRPr="000454A7">
        <w:rPr>
          <w:rFonts w:ascii="Verdana" w:eastAsia="Times New Roman" w:hAnsi="Verdana" w:cs="Times New Roman"/>
          <w:color w:val="FF0000"/>
          <w:vertAlign w:val="superscript"/>
          <w:lang w:eastAsia="en-PH"/>
        </w:rPr>
        <w:t>[14]</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From the same perspective, claims for refund or tax credit should be exercised within the time fixed by law because the BIR being an administrative body enforced to collect taxes, its functions should not be unduly delayed or hampered by incidental matters.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Section 230 of the National Internal Revenue Code (NIRC) of 1977 (now Sec. 229, NIRC of 1997) provides for the prescriptive period for filing a court proceeding for the recovery of tax erroneously or illegally collected, viz.:</w:t>
      </w:r>
    </w:p>
    <w:p w:rsidR="000454A7" w:rsidRPr="000454A7" w:rsidRDefault="000454A7" w:rsidP="000454A7">
      <w:pPr>
        <w:spacing w:after="100" w:line="240" w:lineRule="auto"/>
        <w:rPr>
          <w:rFonts w:ascii="Verdana" w:eastAsia="Times New Roman" w:hAnsi="Verdana" w:cs="Times New Roman"/>
          <w:color w:val="000000"/>
          <w:lang w:eastAsia="en-PH"/>
        </w:rPr>
      </w:pPr>
      <w:proofErr w:type="gramStart"/>
      <w:r w:rsidRPr="000454A7">
        <w:rPr>
          <w:rFonts w:ascii="Verdana" w:eastAsia="Times New Roman" w:hAnsi="Verdana" w:cs="Times New Roman"/>
          <w:color w:val="000000"/>
          <w:lang w:eastAsia="en-PH"/>
        </w:rPr>
        <w:t>“Sec. 230.</w:t>
      </w:r>
      <w:proofErr w:type="gramEnd"/>
      <w:r w:rsidRPr="000454A7">
        <w:rPr>
          <w:rFonts w:ascii="Verdana" w:eastAsia="Times New Roman" w:hAnsi="Verdana" w:cs="Times New Roman"/>
          <w:color w:val="000000"/>
          <w:lang w:eastAsia="en-PH"/>
        </w:rPr>
        <w:t>  </w:t>
      </w:r>
      <w:r w:rsidRPr="000454A7">
        <w:rPr>
          <w:rFonts w:ascii="Verdana" w:eastAsia="Times New Roman" w:hAnsi="Verdana" w:cs="Times New Roman"/>
          <w:i/>
          <w:iCs/>
          <w:color w:val="000000"/>
          <w:lang w:eastAsia="en-PH"/>
        </w:rPr>
        <w:t>Recovery of tax erroneously or illegally collected. </w:t>
      </w:r>
      <w:r w:rsidRPr="000454A7">
        <w:rPr>
          <w:rFonts w:ascii="Verdana" w:eastAsia="Times New Roman" w:hAnsi="Verdana" w:cs="Times New Roman"/>
          <w:color w:val="000000"/>
          <w:lang w:eastAsia="en-PH"/>
        </w:rPr>
        <w:t>-- No suit or proceeding shall be maintained in any court for the recovery of any national internal revenue tax hereafter alleged to have been erroneously or illegally assessed or collected, or of any penalty claimed to have been collected without authority, or of any sum alleged to have been excessive or in any manner wrongfully collected, until a claim for refund or credit has been duly filed with the Commissioner; but such suit or proceeding may be maintained, whether or not such tax, penalty, or sum has been paid under protest or duress.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In any case, </w:t>
      </w:r>
      <w:r w:rsidRPr="000454A7">
        <w:rPr>
          <w:rFonts w:ascii="Verdana" w:eastAsia="Times New Roman" w:hAnsi="Verdana" w:cs="Times New Roman"/>
          <w:i/>
          <w:iCs/>
          <w:color w:val="000000"/>
          <w:lang w:eastAsia="en-PH"/>
        </w:rPr>
        <w:t>no such suit or proceeding shall be begun after the expiration of two years from the date of payment of the tax or penalty regardless of any supervening cause that may arise after payment; </w:t>
      </w:r>
      <w:r w:rsidRPr="000454A7">
        <w:rPr>
          <w:rFonts w:ascii="Verdana" w:eastAsia="Times New Roman" w:hAnsi="Verdana" w:cs="Times New Roman"/>
          <w:color w:val="000000"/>
          <w:lang w:eastAsia="en-PH"/>
        </w:rPr>
        <w:t>Provided however, That the Commissioner may, even without a written claim therefor, refund or credit any tax, where on the face of the return upon which payment was made, such payment appears clearly to have been erroneously paid.” (Italics supplied)</w:t>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Verdana" w:eastAsia="Times New Roman" w:hAnsi="Verdana" w:cs="Times New Roman"/>
          <w:color w:val="000000"/>
          <w:lang w:eastAsia="en-PH"/>
        </w:rPr>
        <w:t xml:space="preserve">The rule states that the taxpayer may file a claim for refund or credit with the Commissioner of Internal Revenue, within two (2) years after payment of tax, </w:t>
      </w:r>
      <w:r w:rsidRPr="000454A7">
        <w:rPr>
          <w:rFonts w:ascii="Verdana" w:eastAsia="Times New Roman" w:hAnsi="Verdana" w:cs="Times New Roman"/>
          <w:color w:val="000000"/>
          <w:lang w:eastAsia="en-PH"/>
        </w:rPr>
        <w:lastRenderedPageBreak/>
        <w:t>before any suit in CTA is commenced.  The two-year prescriptive period provided, should be computed from the time of filing the Adjustment Return and final payment of the tax for the year.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In </w:t>
      </w:r>
      <w:r w:rsidRPr="000454A7">
        <w:rPr>
          <w:rFonts w:ascii="Verdana" w:eastAsia="Times New Roman" w:hAnsi="Verdana" w:cs="Times New Roman"/>
          <w:i/>
          <w:iCs/>
          <w:color w:val="000000"/>
          <w:lang w:eastAsia="en-PH"/>
        </w:rPr>
        <w:t>Commissioner of Internal Revenue vs. Philippine American Life Insurance Co.,</w:t>
      </w:r>
      <w:r w:rsidRPr="000454A7">
        <w:rPr>
          <w:rFonts w:ascii="Verdana" w:eastAsia="Times New Roman" w:hAnsi="Verdana" w:cs="Times New Roman"/>
          <w:color w:val="FF0000"/>
          <w:sz w:val="24"/>
          <w:szCs w:val="24"/>
          <w:vertAlign w:val="superscript"/>
          <w:lang w:eastAsia="en-PH"/>
        </w:rPr>
        <w:t>[15]</w:t>
      </w:r>
      <w:r w:rsidRPr="000454A7">
        <w:rPr>
          <w:rFonts w:ascii="Verdana" w:eastAsia="Times New Roman" w:hAnsi="Verdana" w:cs="Times New Roman"/>
          <w:color w:val="000000"/>
          <w:lang w:eastAsia="en-PH"/>
        </w:rPr>
        <w:t> this Court explained the application of Sec. 230 of 1977 NIRC, as follows:</w:t>
      </w:r>
      <w:r w:rsidRPr="000454A7">
        <w:rPr>
          <w:rFonts w:ascii="Verdana" w:eastAsia="Times New Roman" w:hAnsi="Verdana" w:cs="Times New Roman"/>
          <w:color w:val="000000"/>
          <w:lang w:eastAsia="en-PH"/>
        </w:rPr>
        <w:br/>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“Clearly, the prescriptive period of two years should commence to run only from the time that the refund is ascertained, which can only be determined after a final adjustment return is accomplished.  In the present case, this date is April 16, 1984, and two years from this date would be April 16, 1986.  x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As we have earlier said in the TMX Sales case, Sections 68</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vertAlign w:val="superscript"/>
          <w:lang w:eastAsia="en-PH"/>
        </w:rPr>
        <w:t>[</w:t>
      </w:r>
      <w:proofErr w:type="gramEnd"/>
      <w:r w:rsidRPr="000454A7">
        <w:rPr>
          <w:rFonts w:ascii="Verdana" w:eastAsia="Times New Roman" w:hAnsi="Verdana" w:cs="Times New Roman"/>
          <w:color w:val="FF0000"/>
          <w:vertAlign w:val="superscript"/>
          <w:lang w:eastAsia="en-PH"/>
        </w:rPr>
        <w:t>16]</w:t>
      </w:r>
      <w:r w:rsidRPr="000454A7">
        <w:rPr>
          <w:rFonts w:ascii="Verdana" w:eastAsia="Times New Roman" w:hAnsi="Verdana" w:cs="Times New Roman"/>
          <w:color w:val="000000"/>
          <w:lang w:eastAsia="en-PH"/>
        </w:rPr>
        <w:t> 69,</w:t>
      </w:r>
      <w:r w:rsidRPr="000454A7">
        <w:rPr>
          <w:rFonts w:ascii="Verdana" w:eastAsia="Times New Roman" w:hAnsi="Verdana" w:cs="Times New Roman"/>
          <w:color w:val="FF0000"/>
          <w:vertAlign w:val="superscript"/>
          <w:lang w:eastAsia="en-PH"/>
        </w:rPr>
        <w:t>[17]</w:t>
      </w:r>
      <w:r w:rsidRPr="000454A7">
        <w:rPr>
          <w:rFonts w:ascii="Verdana" w:eastAsia="Times New Roman" w:hAnsi="Verdana" w:cs="Times New Roman"/>
          <w:color w:val="000000"/>
          <w:lang w:eastAsia="en-PH"/>
        </w:rPr>
        <w:t> and 70</w:t>
      </w:r>
      <w:r w:rsidRPr="000454A7">
        <w:rPr>
          <w:rFonts w:ascii="Verdana" w:eastAsia="Times New Roman" w:hAnsi="Verdana" w:cs="Times New Roman"/>
          <w:color w:val="FF0000"/>
          <w:vertAlign w:val="superscript"/>
          <w:lang w:eastAsia="en-PH"/>
        </w:rPr>
        <w:t>[18]</w:t>
      </w:r>
      <w:r w:rsidRPr="000454A7">
        <w:rPr>
          <w:rFonts w:ascii="Verdana" w:eastAsia="Times New Roman" w:hAnsi="Verdana" w:cs="Times New Roman"/>
          <w:color w:val="000000"/>
          <w:lang w:eastAsia="en-PH"/>
        </w:rPr>
        <w:t> on Quarterly Corporate Income Tax Payment and Section 321 should be considered in conjunction with it.”</w:t>
      </w:r>
      <w:r w:rsidRPr="000454A7">
        <w:rPr>
          <w:rFonts w:ascii="Verdana" w:eastAsia="Times New Roman" w:hAnsi="Verdana" w:cs="Times New Roman"/>
          <w:color w:val="FF0000"/>
          <w:vertAlign w:val="superscript"/>
          <w:lang w:eastAsia="en-PH"/>
        </w:rPr>
        <w:t>[19]</w:t>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Verdana" w:eastAsia="Times New Roman" w:hAnsi="Verdana" w:cs="Times New Roman"/>
          <w:color w:val="000000"/>
          <w:lang w:eastAsia="en-PH"/>
        </w:rPr>
        <w:t xml:space="preserve">When the Acting Commissioner of Internal Revenue issued RMC 7-85, changing the prescriptive period of two years to ten years on claims of excess quarterly income tax payments, such circular created a clear inconsistency with the provision of Sec. 230 of 1977 NIRC.  In so doing, the BIR did not simply interpret the law; rather it </w:t>
      </w:r>
      <w:proofErr w:type="gramStart"/>
      <w:r w:rsidRPr="000454A7">
        <w:rPr>
          <w:rFonts w:ascii="Verdana" w:eastAsia="Times New Roman" w:hAnsi="Verdana" w:cs="Times New Roman"/>
          <w:color w:val="000000"/>
          <w:lang w:eastAsia="en-PH"/>
        </w:rPr>
        <w:t>legislated</w:t>
      </w:r>
      <w:proofErr w:type="gramEnd"/>
      <w:r w:rsidRPr="000454A7">
        <w:rPr>
          <w:rFonts w:ascii="Verdana" w:eastAsia="Times New Roman" w:hAnsi="Verdana" w:cs="Times New Roman"/>
          <w:color w:val="000000"/>
          <w:lang w:eastAsia="en-PH"/>
        </w:rPr>
        <w:t xml:space="preserve"> guidelines contrary to the statute passed by Congress.</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It bears repeating that Revenue memorandum-circulars are considered administrative rulings (in the sense of more specific and less general interpretations of tax laws) which are issued from time to time by the Commissioner of Internal Revenue.  It is widely accepted that the interpretation placed upon a statute by the executive officers, whose duty is to enforce it, is entitled to great respect by the courts.  Nevertheless, such interpretation is not conclusive and will be ignored if judicially found to be erroneous</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20]</w:t>
      </w:r>
      <w:r w:rsidRPr="000454A7">
        <w:rPr>
          <w:rFonts w:ascii="Verdana" w:eastAsia="Times New Roman" w:hAnsi="Verdana" w:cs="Times New Roman"/>
          <w:color w:val="000000"/>
          <w:lang w:eastAsia="en-PH"/>
        </w:rPr>
        <w:t> Thus, courts will not countenance administrative issuances that override, instead of remaining consistent and in harmony with, the law they seek to apply and implement.</w:t>
      </w:r>
      <w:r w:rsidRPr="000454A7">
        <w:rPr>
          <w:rFonts w:ascii="Verdana" w:eastAsia="Times New Roman" w:hAnsi="Verdana" w:cs="Times New Roman"/>
          <w:color w:val="FF0000"/>
          <w:sz w:val="24"/>
          <w:szCs w:val="24"/>
          <w:vertAlign w:val="superscript"/>
          <w:lang w:eastAsia="en-PH"/>
        </w:rPr>
        <w:t>[21]</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In the case of </w:t>
      </w:r>
      <w:r w:rsidRPr="000454A7">
        <w:rPr>
          <w:rFonts w:ascii="Verdana" w:eastAsia="Times New Roman" w:hAnsi="Verdana" w:cs="Times New Roman"/>
          <w:i/>
          <w:iCs/>
          <w:color w:val="000000"/>
          <w:lang w:eastAsia="en-PH"/>
        </w:rPr>
        <w:t>People vs. Lim,</w:t>
      </w:r>
      <w:r w:rsidRPr="000454A7">
        <w:rPr>
          <w:rFonts w:ascii="Verdana" w:eastAsia="Times New Roman" w:hAnsi="Verdana" w:cs="Times New Roman"/>
          <w:color w:val="FF0000"/>
          <w:sz w:val="24"/>
          <w:szCs w:val="24"/>
          <w:vertAlign w:val="superscript"/>
          <w:lang w:eastAsia="en-PH"/>
        </w:rPr>
        <w:t>[22]</w:t>
      </w:r>
      <w:r w:rsidRPr="000454A7">
        <w:rPr>
          <w:rFonts w:ascii="Verdana" w:eastAsia="Times New Roman" w:hAnsi="Verdana" w:cs="Times New Roman"/>
          <w:color w:val="000000"/>
          <w:lang w:eastAsia="en-PH"/>
        </w:rPr>
        <w:t> it was held that rules and regulations issued by administrative officials to implement a law cannot go beyond the terms and provisions of the latter.</w:t>
      </w:r>
      <w:r w:rsidRPr="000454A7">
        <w:rPr>
          <w:rFonts w:ascii="Verdana" w:eastAsia="Times New Roman" w:hAnsi="Verdana" w:cs="Times New Roman"/>
          <w:color w:val="000000"/>
          <w:lang w:eastAsia="en-PH"/>
        </w:rPr>
        <w:br/>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“Appellant contends that Section 2 of FAO No. 37-1 is void because it is not only inconsistent with but is contrary to the provisions and spirit of Act. No. 4003 as amended, because whereas the prohibition prescribed in said Fisheries Act was for any single period of time not exceeding five years duration, FAO No. 37-1 fixed no period, that is to say, it establishes an absolute ban for all time.  This discrepancy between Act No. 4003 and FAO No. 37-1 was probably due to an oversight on the part of Secretary of Agriculture and Natural Resources.  Of course, in case of discrepancy, the basic Act prevails, for the reason that the regulation or rule issued to implement a law </w:t>
      </w:r>
      <w:r w:rsidRPr="000454A7">
        <w:rPr>
          <w:rFonts w:ascii="Verdana" w:eastAsia="Times New Roman" w:hAnsi="Verdana" w:cs="Times New Roman"/>
          <w:b/>
          <w:bCs/>
          <w:color w:val="000000"/>
          <w:lang w:eastAsia="en-PH"/>
        </w:rPr>
        <w:t>cannot go beyond</w:t>
      </w:r>
      <w:r w:rsidRPr="000454A7">
        <w:rPr>
          <w:rFonts w:ascii="Verdana" w:eastAsia="Times New Roman" w:hAnsi="Verdana" w:cs="Times New Roman"/>
          <w:color w:val="000000"/>
          <w:lang w:eastAsia="en-PH"/>
        </w:rPr>
        <w:t xml:space="preserve"> the terms and provisions of the latter.  x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w:t>
      </w:r>
      <w:proofErr w:type="spellStart"/>
      <w:r w:rsidRPr="000454A7">
        <w:rPr>
          <w:rFonts w:ascii="Verdana" w:eastAsia="Times New Roman" w:hAnsi="Verdana" w:cs="Times New Roman"/>
          <w:color w:val="000000"/>
          <w:lang w:eastAsia="en-PH"/>
        </w:rPr>
        <w:t>x</w:t>
      </w:r>
      <w:proofErr w:type="spellEnd"/>
      <w:r w:rsidRPr="000454A7">
        <w:rPr>
          <w:rFonts w:ascii="Verdana" w:eastAsia="Times New Roman" w:hAnsi="Verdana" w:cs="Times New Roman"/>
          <w:color w:val="000000"/>
          <w:lang w:eastAsia="en-PH"/>
        </w:rPr>
        <w:t xml:space="preserve"> In this connection, the attention of the technical men in the offices of Department Heads who draft rules and regulation is called to the importance and necessity of closely following the terms and provisions of the law which they intended to implement, this to avoid any possible misunderstanding or confusion as in the present case.”</w:t>
      </w:r>
      <w:r w:rsidRPr="000454A7">
        <w:rPr>
          <w:rFonts w:ascii="Verdana" w:eastAsia="Times New Roman" w:hAnsi="Verdana" w:cs="Times New Roman"/>
          <w:color w:val="FF0000"/>
          <w:vertAlign w:val="superscript"/>
          <w:lang w:eastAsia="en-PH"/>
        </w:rPr>
        <w:t>[23]</w:t>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Verdana" w:eastAsia="Times New Roman" w:hAnsi="Verdana" w:cs="Times New Roman"/>
          <w:color w:val="000000"/>
          <w:lang w:eastAsia="en-PH"/>
        </w:rPr>
        <w:lastRenderedPageBreak/>
        <w:t>Further, fundamental is the rule that the State cannot be put in estoppel by the mistakes or errors of its officials or agents</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24]</w:t>
      </w:r>
      <w:r w:rsidRPr="000454A7">
        <w:rPr>
          <w:rFonts w:ascii="Verdana" w:eastAsia="Times New Roman" w:hAnsi="Verdana" w:cs="Times New Roman"/>
          <w:color w:val="000000"/>
          <w:lang w:eastAsia="en-PH"/>
        </w:rPr>
        <w:t> As pointed out by the respondent courts, the nullification of RMC No. 7-85 issued by the Acting Commissioner of Internal Revenue is an administrative interpretation which is not in harmony with Sec. 230 of 1977 NIRC, for being contrary to the express provision of a statute.  Hence, his interpretation could not be given weight for to do so would, in effect, amend the statute.</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As aptly stated by respondent Court of Appeals:</w:t>
      </w:r>
      <w:r w:rsidRPr="000454A7">
        <w:rPr>
          <w:rFonts w:ascii="Verdana" w:eastAsia="Times New Roman" w:hAnsi="Verdana" w:cs="Times New Roman"/>
          <w:color w:val="000000"/>
          <w:lang w:eastAsia="en-PH"/>
        </w:rPr>
        <w:br/>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 xml:space="preserve">“It is likewise argued that the Commissioner of Internal Revenue, after promulgating RMC No. 7-85, is estopped by the principle of non-retroactivity of BIR rulings.  Again </w:t>
      </w:r>
      <w:proofErr w:type="gramStart"/>
      <w:r w:rsidRPr="000454A7">
        <w:rPr>
          <w:rFonts w:ascii="Verdana" w:eastAsia="Times New Roman" w:hAnsi="Verdana" w:cs="Times New Roman"/>
          <w:color w:val="000000"/>
          <w:lang w:eastAsia="en-PH"/>
        </w:rPr>
        <w:t>We</w:t>
      </w:r>
      <w:proofErr w:type="gramEnd"/>
      <w:r w:rsidRPr="000454A7">
        <w:rPr>
          <w:rFonts w:ascii="Verdana" w:eastAsia="Times New Roman" w:hAnsi="Verdana" w:cs="Times New Roman"/>
          <w:color w:val="000000"/>
          <w:lang w:eastAsia="en-PH"/>
        </w:rPr>
        <w:t xml:space="preserve"> do not agree.  The Memorandum Circular, stating that a taxpayer may recover the excess income tax paid within 10 years from date of payment because this is an obligation created by law, was issued by the Acting Commissioner of Internal Revenue.  On the other hand, the decision, stating that the taxpayer should still file a claim for a refund or tax credit and the corresponding petition for review within the two-year prescription period, and that the lengthening of the period of limitation on refund from two to ten years would be adverse to public policy and run counter to the positive mandate of Sec. 230, NIRC, - was the ruling and judicial interpretation of the Court of Tax Appeals.  Estoppel has no application in the case at bar because it was not the Commissioner of Internal Revenue who denied petitioner’s claim of refund or tax credit.  Rather, it was the Court of Tax Appeals who denied (albeit correctly) the claim and in effect, ruled that the RMC No. 7-85 issued by the Commissioner of Internal Revenue is an administrative interpretation which is out of harmony with or contrary to the express provision of a statute (specifically Sec. 230, NIRC), hence, cannot be given weight for to do so would in effect amend the statute.”</w:t>
      </w:r>
      <w:r w:rsidRPr="000454A7">
        <w:rPr>
          <w:rFonts w:ascii="Verdana" w:eastAsia="Times New Roman" w:hAnsi="Verdana" w:cs="Times New Roman"/>
          <w:color w:val="FF0000"/>
          <w:vertAlign w:val="superscript"/>
          <w:lang w:eastAsia="en-PH"/>
        </w:rPr>
        <w:t>[25]</w:t>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Verdana" w:eastAsia="Times New Roman" w:hAnsi="Verdana" w:cs="Times New Roman"/>
          <w:color w:val="000000"/>
          <w:lang w:eastAsia="en-PH"/>
        </w:rPr>
        <w:t xml:space="preserve">Article 8 of the Civil </w:t>
      </w:r>
      <w:proofErr w:type="gramStart"/>
      <w:r w:rsidRPr="000454A7">
        <w:rPr>
          <w:rFonts w:ascii="Verdana" w:eastAsia="Times New Roman" w:hAnsi="Verdana" w:cs="Times New Roman"/>
          <w:color w:val="000000"/>
          <w:lang w:eastAsia="en-PH"/>
        </w:rPr>
        <w:t>Code</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26]</w:t>
      </w:r>
      <w:r w:rsidRPr="000454A7">
        <w:rPr>
          <w:rFonts w:ascii="Verdana" w:eastAsia="Times New Roman" w:hAnsi="Verdana" w:cs="Times New Roman"/>
          <w:color w:val="000000"/>
          <w:lang w:eastAsia="en-PH"/>
        </w:rPr>
        <w:t> recognizes judicial decisions, applying or interpreting statutes as part of the legal system of the country.  But administrative decisions do not enjoy that level of recognition.  A memorandum-circular of a bureau head could not operate to vest a taxpayer with a shield against judicial action.  For there are no vested rights to speak of respecting a wrong construction of the law by the administrative officials and such wrong interpretation could not place the Government in estoppel to correct or overrule the same</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27]</w:t>
      </w:r>
      <w:r w:rsidRPr="000454A7">
        <w:rPr>
          <w:rFonts w:ascii="Verdana" w:eastAsia="Times New Roman" w:hAnsi="Verdana" w:cs="Times New Roman"/>
          <w:color w:val="000000"/>
          <w:lang w:eastAsia="en-PH"/>
        </w:rPr>
        <w:t> Moreover, the non-retroactivity of rulings by the Commissioner of Internal Revenue is not applicable in this case because the nullity of RMC No. 7-85 was declared by respondent courts and not by the Commissioner of Internal Revenue.  Lastly, it must be noted that, as repeatedly held by this Court, a claim for refund is in the nature of a claim for exemption and should be construed in </w:t>
      </w:r>
      <w:proofErr w:type="spellStart"/>
      <w:r w:rsidRPr="000454A7">
        <w:rPr>
          <w:rFonts w:ascii="Verdana" w:eastAsia="Times New Roman" w:hAnsi="Verdana" w:cs="Times New Roman"/>
          <w:i/>
          <w:iCs/>
          <w:color w:val="000000"/>
          <w:lang w:eastAsia="en-PH"/>
        </w:rPr>
        <w:t>strictissimi</w:t>
      </w:r>
      <w:proofErr w:type="spellEnd"/>
      <w:r w:rsidRPr="000454A7">
        <w:rPr>
          <w:rFonts w:ascii="Verdana" w:eastAsia="Times New Roman" w:hAnsi="Verdana" w:cs="Times New Roman"/>
          <w:i/>
          <w:iCs/>
          <w:color w:val="000000"/>
          <w:lang w:eastAsia="en-PH"/>
        </w:rPr>
        <w:t xml:space="preserve"> </w:t>
      </w:r>
      <w:proofErr w:type="spellStart"/>
      <w:r w:rsidRPr="000454A7">
        <w:rPr>
          <w:rFonts w:ascii="Verdana" w:eastAsia="Times New Roman" w:hAnsi="Verdana" w:cs="Times New Roman"/>
          <w:i/>
          <w:iCs/>
          <w:color w:val="000000"/>
          <w:lang w:eastAsia="en-PH"/>
        </w:rPr>
        <w:t>juris</w:t>
      </w:r>
      <w:r w:rsidRPr="000454A7">
        <w:rPr>
          <w:rFonts w:ascii="Verdana" w:eastAsia="Times New Roman" w:hAnsi="Verdana" w:cs="Times New Roman"/>
          <w:color w:val="000000"/>
          <w:lang w:eastAsia="en-PH"/>
        </w:rPr>
        <w:t>against</w:t>
      </w:r>
      <w:proofErr w:type="spellEnd"/>
      <w:r w:rsidRPr="000454A7">
        <w:rPr>
          <w:rFonts w:ascii="Verdana" w:eastAsia="Times New Roman" w:hAnsi="Verdana" w:cs="Times New Roman"/>
          <w:color w:val="000000"/>
          <w:lang w:eastAsia="en-PH"/>
        </w:rPr>
        <w:t xml:space="preserve"> the taxpayer</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28]</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 xml:space="preserve">On the second issue, the petitioner alleges that the Court of Appeals seriously erred in affirming CTA’s decision denying its claim for refund of P 234,077.69 (tax overpaid in 1986), based on mere speculation, without proof, that </w:t>
      </w:r>
      <w:proofErr w:type="spellStart"/>
      <w:r w:rsidRPr="000454A7">
        <w:rPr>
          <w:rFonts w:ascii="Verdana" w:eastAsia="Times New Roman" w:hAnsi="Verdana" w:cs="Times New Roman"/>
          <w:color w:val="000000"/>
          <w:lang w:eastAsia="en-PH"/>
        </w:rPr>
        <w:t>PBCom</w:t>
      </w:r>
      <w:proofErr w:type="spellEnd"/>
      <w:r w:rsidRPr="000454A7">
        <w:rPr>
          <w:rFonts w:ascii="Verdana" w:eastAsia="Times New Roman" w:hAnsi="Verdana" w:cs="Times New Roman"/>
          <w:color w:val="000000"/>
          <w:lang w:eastAsia="en-PH"/>
        </w:rPr>
        <w:t xml:space="preserve"> availed of the automatic tax credit in 1987.</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 xml:space="preserve">Sec. 69 of the 1977 </w:t>
      </w:r>
      <w:proofErr w:type="gramStart"/>
      <w:r w:rsidRPr="000454A7">
        <w:rPr>
          <w:rFonts w:ascii="Verdana" w:eastAsia="Times New Roman" w:hAnsi="Verdana" w:cs="Times New Roman"/>
          <w:color w:val="000000"/>
          <w:lang w:eastAsia="en-PH"/>
        </w:rPr>
        <w:t>NIRC</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29]</w:t>
      </w:r>
      <w:r w:rsidRPr="000454A7">
        <w:rPr>
          <w:rFonts w:ascii="Verdana" w:eastAsia="Times New Roman" w:hAnsi="Verdana" w:cs="Times New Roman"/>
          <w:color w:val="000000"/>
          <w:lang w:eastAsia="en-PH"/>
        </w:rPr>
        <w:t> (now Sec. 76 of the 1997 NIRC) provides that any excess of the total quarterly payments over the actual income tax computed in the adjustment or final corporate income tax return, </w:t>
      </w:r>
      <w:r w:rsidRPr="000454A7">
        <w:rPr>
          <w:rFonts w:ascii="Verdana" w:eastAsia="Times New Roman" w:hAnsi="Verdana" w:cs="Times New Roman"/>
          <w:b/>
          <w:bCs/>
          <w:color w:val="000000"/>
          <w:lang w:eastAsia="en-PH"/>
        </w:rPr>
        <w:t>shall either</w:t>
      </w:r>
      <w:r w:rsidRPr="000454A7">
        <w:rPr>
          <w:rFonts w:ascii="Verdana" w:eastAsia="Times New Roman" w:hAnsi="Verdana" w:cs="Times New Roman"/>
          <w:color w:val="000000"/>
          <w:lang w:eastAsia="en-PH"/>
        </w:rPr>
        <w:t xml:space="preserve"> (a) be </w:t>
      </w:r>
      <w:r w:rsidRPr="000454A7">
        <w:rPr>
          <w:rFonts w:ascii="Verdana" w:eastAsia="Times New Roman" w:hAnsi="Verdana" w:cs="Times New Roman"/>
          <w:color w:val="000000"/>
          <w:lang w:eastAsia="en-PH"/>
        </w:rPr>
        <w:lastRenderedPageBreak/>
        <w:t>refunded to the corporation, or (b) may be credited against the estimated quarterly income tax liabilities for the quarters of the succeeding taxable year.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The corporation must signify in its annual corporate adjustment return (by marking the option box provided in the BIR form) its intention, whether to request for a refund or claim for an automatic tax credit for the succeeding taxable year.  To ease the administration of tax collection, these remedies are in the alternative, and the choice of one precludes the other.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t>As stated by respondent Court of Appeals:</w:t>
      </w:r>
      <w:r w:rsidRPr="000454A7">
        <w:rPr>
          <w:rFonts w:ascii="Verdana" w:eastAsia="Times New Roman" w:hAnsi="Verdana" w:cs="Times New Roman"/>
          <w:color w:val="000000"/>
          <w:lang w:eastAsia="en-PH"/>
        </w:rPr>
        <w:br/>
      </w:r>
    </w:p>
    <w:p w:rsidR="000454A7" w:rsidRPr="000454A7" w:rsidRDefault="000454A7" w:rsidP="000454A7">
      <w:pPr>
        <w:spacing w:after="0" w:line="240" w:lineRule="auto"/>
        <w:rPr>
          <w:rFonts w:ascii="Verdana" w:eastAsia="Times New Roman" w:hAnsi="Verdana" w:cs="Times New Roman"/>
          <w:color w:val="000000"/>
          <w:lang w:eastAsia="en-PH"/>
        </w:rPr>
      </w:pPr>
      <w:r w:rsidRPr="000454A7">
        <w:rPr>
          <w:rFonts w:ascii="Verdana" w:eastAsia="Times New Roman" w:hAnsi="Verdana" w:cs="Times New Roman"/>
          <w:color w:val="000000"/>
          <w:lang w:eastAsia="en-PH"/>
        </w:rPr>
        <w:t>“Finally, as to the claimed refund of income tax over-paid in 1986 - the Court of Tax Appeals, after examining the adjusted final corporate annual income tax return for taxable year 1986, found out that petitioner opted to apply for automatic tax credit.  This was the basis used (</w:t>
      </w:r>
      <w:proofErr w:type="spellStart"/>
      <w:r w:rsidRPr="000454A7">
        <w:rPr>
          <w:rFonts w:ascii="Verdana" w:eastAsia="Times New Roman" w:hAnsi="Verdana" w:cs="Times New Roman"/>
          <w:color w:val="000000"/>
          <w:lang w:eastAsia="en-PH"/>
        </w:rPr>
        <w:t>vis-avis</w:t>
      </w:r>
      <w:proofErr w:type="spellEnd"/>
      <w:r w:rsidRPr="000454A7">
        <w:rPr>
          <w:rFonts w:ascii="Verdana" w:eastAsia="Times New Roman" w:hAnsi="Verdana" w:cs="Times New Roman"/>
          <w:color w:val="000000"/>
          <w:lang w:eastAsia="en-PH"/>
        </w:rPr>
        <w:t xml:space="preserve"> the fact that the 1987 annual corporate tax return was not offered by the petitioner as evidence) by the CTA in concluding that petitioner had indeed availed of and applied the automatic tax credit to the succeeding year, hence it can no longer ask for refund, as to [sic] the two remedies of refund and tax credit are alternative.”</w:t>
      </w:r>
      <w:r w:rsidRPr="000454A7">
        <w:rPr>
          <w:rFonts w:ascii="Verdana" w:eastAsia="Times New Roman" w:hAnsi="Verdana" w:cs="Times New Roman"/>
          <w:color w:val="FF0000"/>
          <w:vertAlign w:val="superscript"/>
          <w:lang w:eastAsia="en-PH"/>
        </w:rPr>
        <w:t>[30]</w:t>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Verdana" w:eastAsia="Times New Roman" w:hAnsi="Verdana" w:cs="Times New Roman"/>
          <w:color w:val="000000"/>
          <w:lang w:eastAsia="en-PH"/>
        </w:rPr>
        <w:t>That the petitioner opted for an automatic tax credit in accordance with Sec. 69 of the 1977 NIRC, as specified in its 1986 Final Adjusted Income Tax Return, is a finding of fact which we must respect.  Moreover, the 1987 annual corporate tax return of the petitioner was not offered as evidence to controvert said fact.  Thus, we are bound by the findings of fact by respondent courts, there being no showing of gross error or abuse on their part to disturb our reliance thereon</w:t>
      </w:r>
      <w:proofErr w:type="gramStart"/>
      <w:r w:rsidRPr="000454A7">
        <w:rPr>
          <w:rFonts w:ascii="Verdana" w:eastAsia="Times New Roman" w:hAnsi="Verdana" w:cs="Times New Roman"/>
          <w:color w:val="000000"/>
          <w:lang w:eastAsia="en-PH"/>
        </w:rPr>
        <w:t>.</w:t>
      </w:r>
      <w:r w:rsidRPr="000454A7">
        <w:rPr>
          <w:rFonts w:ascii="Verdana" w:eastAsia="Times New Roman" w:hAnsi="Verdana" w:cs="Times New Roman"/>
          <w:color w:val="FF0000"/>
          <w:sz w:val="24"/>
          <w:szCs w:val="24"/>
          <w:vertAlign w:val="superscript"/>
          <w:lang w:eastAsia="en-PH"/>
        </w:rPr>
        <w:t>[</w:t>
      </w:r>
      <w:proofErr w:type="gramEnd"/>
      <w:r w:rsidRPr="000454A7">
        <w:rPr>
          <w:rFonts w:ascii="Verdana" w:eastAsia="Times New Roman" w:hAnsi="Verdana" w:cs="Times New Roman"/>
          <w:color w:val="FF0000"/>
          <w:sz w:val="24"/>
          <w:szCs w:val="24"/>
          <w:vertAlign w:val="superscript"/>
          <w:lang w:eastAsia="en-PH"/>
        </w:rPr>
        <w:t>31]</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r w:rsidRPr="000454A7">
        <w:rPr>
          <w:rFonts w:ascii="Verdana" w:eastAsia="Times New Roman" w:hAnsi="Verdana" w:cs="Times New Roman"/>
          <w:b/>
          <w:bCs/>
          <w:color w:val="000000"/>
          <w:lang w:eastAsia="en-PH"/>
        </w:rPr>
        <w:t>WHEREFORE,</w:t>
      </w:r>
      <w:r w:rsidRPr="000454A7">
        <w:rPr>
          <w:rFonts w:ascii="Verdana" w:eastAsia="Times New Roman" w:hAnsi="Verdana" w:cs="Times New Roman"/>
          <w:color w:val="000000"/>
          <w:lang w:eastAsia="en-PH"/>
        </w:rPr>
        <w:t> the petition is hereby </w:t>
      </w:r>
      <w:r w:rsidRPr="000454A7">
        <w:rPr>
          <w:rFonts w:ascii="Verdana" w:eastAsia="Times New Roman" w:hAnsi="Verdana" w:cs="Times New Roman"/>
          <w:b/>
          <w:bCs/>
          <w:color w:val="000000"/>
          <w:lang w:eastAsia="en-PH"/>
        </w:rPr>
        <w:t>DENIED</w:t>
      </w:r>
      <w:r w:rsidRPr="000454A7">
        <w:rPr>
          <w:rFonts w:ascii="Verdana" w:eastAsia="Times New Roman" w:hAnsi="Verdana" w:cs="Times New Roman"/>
          <w:color w:val="000000"/>
          <w:lang w:eastAsia="en-PH"/>
        </w:rPr>
        <w:t>.  The decision of the Court of Appeals appealed from is </w:t>
      </w:r>
      <w:r w:rsidRPr="000454A7">
        <w:rPr>
          <w:rFonts w:ascii="Verdana" w:eastAsia="Times New Roman" w:hAnsi="Verdana" w:cs="Times New Roman"/>
          <w:b/>
          <w:bCs/>
          <w:color w:val="000000"/>
          <w:lang w:eastAsia="en-PH"/>
        </w:rPr>
        <w:t>AFFIRMED</w:t>
      </w:r>
      <w:r w:rsidRPr="000454A7">
        <w:rPr>
          <w:rFonts w:ascii="Verdana" w:eastAsia="Times New Roman" w:hAnsi="Verdana" w:cs="Times New Roman"/>
          <w:color w:val="000000"/>
          <w:lang w:eastAsia="en-PH"/>
        </w:rPr>
        <w:t>, with </w:t>
      </w:r>
      <w:r w:rsidRPr="000454A7">
        <w:rPr>
          <w:rFonts w:ascii="Verdana" w:eastAsia="Times New Roman" w:hAnsi="Verdana" w:cs="Times New Roman"/>
          <w:b/>
          <w:bCs/>
          <w:color w:val="000000"/>
          <w:lang w:eastAsia="en-PH"/>
        </w:rPr>
        <w:t>COSTS</w:t>
      </w:r>
      <w:r w:rsidRPr="000454A7">
        <w:rPr>
          <w:rFonts w:ascii="Verdana" w:eastAsia="Times New Roman" w:hAnsi="Verdana" w:cs="Times New Roman"/>
          <w:color w:val="000000"/>
          <w:lang w:eastAsia="en-PH"/>
        </w:rPr>
        <w:t> against the petitioner.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roofErr w:type="gramStart"/>
      <w:r w:rsidRPr="000454A7">
        <w:rPr>
          <w:rFonts w:ascii="Verdana" w:eastAsia="Times New Roman" w:hAnsi="Verdana" w:cs="Times New Roman"/>
          <w:color w:val="000000"/>
          <w:lang w:eastAsia="en-PH"/>
        </w:rPr>
        <w:t>SO ORDERED.</w:t>
      </w:r>
      <w:proofErr w:type="gramEnd"/>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roofErr w:type="spellStart"/>
      <w:r w:rsidRPr="000454A7">
        <w:rPr>
          <w:rFonts w:ascii="Verdana" w:eastAsia="Times New Roman" w:hAnsi="Verdana" w:cs="Times New Roman"/>
          <w:i/>
          <w:iCs/>
          <w:color w:val="000000"/>
          <w:lang w:eastAsia="en-PH"/>
        </w:rPr>
        <w:t>Bellosillo</w:t>
      </w:r>
      <w:proofErr w:type="spellEnd"/>
      <w:r w:rsidRPr="000454A7">
        <w:rPr>
          <w:rFonts w:ascii="Verdana" w:eastAsia="Times New Roman" w:hAnsi="Verdana" w:cs="Times New Roman"/>
          <w:i/>
          <w:iCs/>
          <w:color w:val="000000"/>
          <w:lang w:eastAsia="en-PH"/>
        </w:rPr>
        <w:t>, (Chairman), Puno, Mendoza,</w:t>
      </w:r>
      <w:r w:rsidRPr="000454A7">
        <w:rPr>
          <w:rFonts w:ascii="Verdana" w:eastAsia="Times New Roman" w:hAnsi="Verdana" w:cs="Times New Roman"/>
          <w:color w:val="000000"/>
          <w:lang w:eastAsia="en-PH"/>
        </w:rPr>
        <w:t> and </w:t>
      </w:r>
      <w:r w:rsidRPr="000454A7">
        <w:rPr>
          <w:rFonts w:ascii="Verdana" w:eastAsia="Times New Roman" w:hAnsi="Verdana" w:cs="Times New Roman"/>
          <w:i/>
          <w:iCs/>
          <w:color w:val="000000"/>
          <w:lang w:eastAsia="en-PH"/>
        </w:rPr>
        <w:t xml:space="preserve">Buena, </w:t>
      </w:r>
      <w:proofErr w:type="gramStart"/>
      <w:r w:rsidRPr="000454A7">
        <w:rPr>
          <w:rFonts w:ascii="Verdana" w:eastAsia="Times New Roman" w:hAnsi="Verdana" w:cs="Times New Roman"/>
          <w:i/>
          <w:iCs/>
          <w:color w:val="000000"/>
          <w:lang w:eastAsia="en-PH"/>
        </w:rPr>
        <w:t>JJ</w:t>
      </w:r>
      <w:r w:rsidRPr="000454A7">
        <w:rPr>
          <w:rFonts w:ascii="Verdana" w:eastAsia="Times New Roman" w:hAnsi="Verdana" w:cs="Times New Roman"/>
          <w:color w:val="000000"/>
          <w:lang w:eastAsia="en-PH"/>
        </w:rPr>
        <w:t>.,</w:t>
      </w:r>
      <w:proofErr w:type="gramEnd"/>
      <w:r w:rsidRPr="000454A7">
        <w:rPr>
          <w:rFonts w:ascii="Verdana" w:eastAsia="Times New Roman" w:hAnsi="Verdana" w:cs="Times New Roman"/>
          <w:color w:val="000000"/>
          <w:lang w:eastAsia="en-PH"/>
        </w:rPr>
        <w:t xml:space="preserve"> concur.</w:t>
      </w:r>
      <w:r w:rsidRPr="000454A7">
        <w:rPr>
          <w:rFonts w:ascii="Verdana" w:eastAsia="Times New Roman" w:hAnsi="Verdana" w:cs="Times New Roman"/>
          <w:color w:val="000000"/>
          <w:lang w:eastAsia="en-PH"/>
        </w:rPr>
        <w:br/>
      </w:r>
      <w:r w:rsidRPr="000454A7">
        <w:rPr>
          <w:rFonts w:ascii="Verdana" w:eastAsia="Times New Roman" w:hAnsi="Verdana" w:cs="Times New Roman"/>
          <w:color w:val="000000"/>
          <w:lang w:eastAsia="en-PH"/>
        </w:rPr>
        <w:br/>
      </w:r>
    </w:p>
    <w:p w:rsidR="000454A7" w:rsidRPr="000454A7" w:rsidRDefault="000454A7" w:rsidP="000454A7">
      <w:pPr>
        <w:spacing w:after="0" w:line="240" w:lineRule="auto"/>
        <w:rPr>
          <w:rFonts w:ascii="Times New Roman" w:eastAsia="Times New Roman" w:hAnsi="Times New Roman" w:cs="Times New Roman"/>
          <w:sz w:val="24"/>
          <w:szCs w:val="24"/>
          <w:lang w:eastAsia="en-PH"/>
        </w:rPr>
      </w:pPr>
      <w:r w:rsidRPr="000454A7">
        <w:rPr>
          <w:rFonts w:ascii="Times New Roman" w:eastAsia="Times New Roman" w:hAnsi="Times New Roman" w:cs="Times New Roman"/>
          <w:sz w:val="24"/>
          <w:szCs w:val="24"/>
          <w:lang w:eastAsia="en-PH"/>
        </w:rPr>
        <w:pict>
          <v:rect id="_x0000_i1025" style="width:280.8pt;height:.75pt" o:hrpct="600" o:hrstd="t" o:hrnoshade="t" o:hr="t" fillcolor="black" stroked="f"/>
        </w:pict>
      </w:r>
    </w:p>
    <w:p w:rsidR="000454A7" w:rsidRPr="000454A7" w:rsidRDefault="000454A7" w:rsidP="000454A7">
      <w:pPr>
        <w:spacing w:after="0" w:line="240" w:lineRule="auto"/>
        <w:rPr>
          <w:rFonts w:ascii="Times New Roman" w:eastAsia="Times New Roman" w:hAnsi="Times New Roman" w:cs="Times New Roman"/>
          <w:sz w:val="16"/>
          <w:szCs w:val="16"/>
          <w:lang w:eastAsia="en-PH"/>
        </w:rPr>
      </w:pPr>
      <w:r w:rsidRPr="000454A7">
        <w:rPr>
          <w:rFonts w:ascii="Verdana" w:eastAsia="Times New Roman" w:hAnsi="Verdana" w:cs="Times New Roman"/>
          <w:color w:val="000000"/>
          <w:lang w:eastAsia="en-PH"/>
        </w:rPr>
        <w:br/>
      </w:r>
      <w:r w:rsidRPr="000454A7">
        <w:rPr>
          <w:rFonts w:ascii="Verdana" w:eastAsia="Times New Roman" w:hAnsi="Verdana" w:cs="Times New Roman"/>
          <w:color w:val="FF0000"/>
          <w:sz w:val="16"/>
          <w:szCs w:val="16"/>
          <w:vertAlign w:val="superscript"/>
          <w:lang w:eastAsia="en-PH"/>
        </w:rPr>
        <w:t>[1]</w:t>
      </w:r>
      <w:proofErr w:type="gramStart"/>
      <w:r w:rsidRPr="000454A7">
        <w:rPr>
          <w:rFonts w:ascii="Verdana" w:eastAsia="Times New Roman" w:hAnsi="Verdana" w:cs="Times New Roman"/>
          <w:color w:val="000000"/>
          <w:sz w:val="16"/>
          <w:szCs w:val="16"/>
          <w:lang w:eastAsia="en-PH"/>
        </w:rPr>
        <w:t>  Penned</w:t>
      </w:r>
      <w:proofErr w:type="gramEnd"/>
      <w:r w:rsidRPr="000454A7">
        <w:rPr>
          <w:rFonts w:ascii="Verdana" w:eastAsia="Times New Roman" w:hAnsi="Verdana" w:cs="Times New Roman"/>
          <w:color w:val="000000"/>
          <w:sz w:val="16"/>
          <w:szCs w:val="16"/>
          <w:lang w:eastAsia="en-PH"/>
        </w:rPr>
        <w:t xml:space="preserve"> by Associate Justice </w:t>
      </w:r>
      <w:proofErr w:type="spellStart"/>
      <w:r w:rsidRPr="000454A7">
        <w:rPr>
          <w:rFonts w:ascii="Verdana" w:eastAsia="Times New Roman" w:hAnsi="Verdana" w:cs="Times New Roman"/>
          <w:color w:val="000000"/>
          <w:sz w:val="16"/>
          <w:szCs w:val="16"/>
          <w:lang w:eastAsia="en-PH"/>
        </w:rPr>
        <w:t>Isaali</w:t>
      </w:r>
      <w:proofErr w:type="spellEnd"/>
      <w:r w:rsidRPr="000454A7">
        <w:rPr>
          <w:rFonts w:ascii="Verdana" w:eastAsia="Times New Roman" w:hAnsi="Verdana" w:cs="Times New Roman"/>
          <w:color w:val="000000"/>
          <w:sz w:val="16"/>
          <w:szCs w:val="16"/>
          <w:lang w:eastAsia="en-PH"/>
        </w:rPr>
        <w:t xml:space="preserve"> S. </w:t>
      </w:r>
      <w:proofErr w:type="spellStart"/>
      <w:r w:rsidRPr="000454A7">
        <w:rPr>
          <w:rFonts w:ascii="Verdana" w:eastAsia="Times New Roman" w:hAnsi="Verdana" w:cs="Times New Roman"/>
          <w:color w:val="000000"/>
          <w:sz w:val="16"/>
          <w:szCs w:val="16"/>
          <w:lang w:eastAsia="en-PH"/>
        </w:rPr>
        <w:t>Isnani</w:t>
      </w:r>
      <w:proofErr w:type="spellEnd"/>
      <w:r w:rsidRPr="000454A7">
        <w:rPr>
          <w:rFonts w:ascii="Verdana" w:eastAsia="Times New Roman" w:hAnsi="Verdana" w:cs="Times New Roman"/>
          <w:color w:val="000000"/>
          <w:sz w:val="16"/>
          <w:szCs w:val="16"/>
          <w:lang w:eastAsia="en-PH"/>
        </w:rPr>
        <w:t xml:space="preserve"> and concurred in by Associate Justice Nathanael P. De </w:t>
      </w:r>
      <w:proofErr w:type="spellStart"/>
      <w:r w:rsidRPr="000454A7">
        <w:rPr>
          <w:rFonts w:ascii="Verdana" w:eastAsia="Times New Roman" w:hAnsi="Verdana" w:cs="Times New Roman"/>
          <w:color w:val="000000"/>
          <w:sz w:val="16"/>
          <w:szCs w:val="16"/>
          <w:lang w:eastAsia="en-PH"/>
        </w:rPr>
        <w:t>Pano</w:t>
      </w:r>
      <w:proofErr w:type="spellEnd"/>
      <w:r w:rsidRPr="000454A7">
        <w:rPr>
          <w:rFonts w:ascii="Verdana" w:eastAsia="Times New Roman" w:hAnsi="Verdana" w:cs="Times New Roman"/>
          <w:color w:val="000000"/>
          <w:sz w:val="16"/>
          <w:szCs w:val="16"/>
          <w:lang w:eastAsia="en-PH"/>
        </w:rPr>
        <w:t xml:space="preserve">, Jr. and Associate Justice Corona </w:t>
      </w:r>
      <w:proofErr w:type="spellStart"/>
      <w:r w:rsidRPr="000454A7">
        <w:rPr>
          <w:rFonts w:ascii="Verdana" w:eastAsia="Times New Roman" w:hAnsi="Verdana" w:cs="Times New Roman"/>
          <w:color w:val="000000"/>
          <w:sz w:val="16"/>
          <w:szCs w:val="16"/>
          <w:lang w:eastAsia="en-PH"/>
        </w:rPr>
        <w:t>Ibay</w:t>
      </w:r>
      <w:proofErr w:type="spellEnd"/>
      <w:r w:rsidRPr="000454A7">
        <w:rPr>
          <w:rFonts w:ascii="Verdana" w:eastAsia="Times New Roman" w:hAnsi="Verdana" w:cs="Times New Roman"/>
          <w:color w:val="000000"/>
          <w:sz w:val="16"/>
          <w:szCs w:val="16"/>
          <w:lang w:eastAsia="en-PH"/>
        </w:rPr>
        <w:t xml:space="preserve"> </w:t>
      </w:r>
      <w:proofErr w:type="spellStart"/>
      <w:r w:rsidRPr="000454A7">
        <w:rPr>
          <w:rFonts w:ascii="Verdana" w:eastAsia="Times New Roman" w:hAnsi="Verdana" w:cs="Times New Roman"/>
          <w:color w:val="000000"/>
          <w:sz w:val="16"/>
          <w:szCs w:val="16"/>
          <w:lang w:eastAsia="en-PH"/>
        </w:rPr>
        <w:t>Somera</w:t>
      </w:r>
      <w:proofErr w:type="spellEnd"/>
      <w:r w:rsidRPr="000454A7">
        <w:rPr>
          <w:rFonts w:ascii="Verdana" w:eastAsia="Times New Roman" w:hAnsi="Verdana" w:cs="Times New Roman"/>
          <w:color w:val="000000"/>
          <w:sz w:val="16"/>
          <w:szCs w:val="16"/>
          <w:lang w:eastAsia="en-PH"/>
        </w:rPr>
        <w:t xml:space="preserve">; </w:t>
      </w:r>
      <w:proofErr w:type="spellStart"/>
      <w:r w:rsidRPr="000454A7">
        <w:rPr>
          <w:rFonts w:ascii="Verdana" w:eastAsia="Times New Roman" w:hAnsi="Verdana" w:cs="Times New Roman"/>
          <w:color w:val="000000"/>
          <w:sz w:val="16"/>
          <w:szCs w:val="16"/>
          <w:lang w:eastAsia="en-PH"/>
        </w:rPr>
        <w:t>rollo</w:t>
      </w:r>
      <w:proofErr w:type="spellEnd"/>
      <w:r w:rsidRPr="000454A7">
        <w:rPr>
          <w:rFonts w:ascii="Verdana" w:eastAsia="Times New Roman" w:hAnsi="Verdana" w:cs="Times New Roman"/>
          <w:color w:val="000000"/>
          <w:sz w:val="16"/>
          <w:szCs w:val="16"/>
          <w:lang w:eastAsia="en-PH"/>
        </w:rPr>
        <w:t>, pp. 101-104.</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w:t>
      </w:r>
      <w:r w:rsidRPr="000454A7">
        <w:rPr>
          <w:rFonts w:ascii="Verdana" w:eastAsia="Times New Roman" w:hAnsi="Verdana" w:cs="Times New Roman"/>
          <w:color w:val="000000"/>
          <w:sz w:val="16"/>
          <w:szCs w:val="16"/>
          <w:lang w:eastAsia="en-PH"/>
        </w:rPr>
        <w:t xml:space="preserve">  Penned by Ernesto D. Acosta, Presiding Judge, concurred in by Associate Judge Manuel K. </w:t>
      </w:r>
      <w:proofErr w:type="spellStart"/>
      <w:r w:rsidRPr="000454A7">
        <w:rPr>
          <w:rFonts w:ascii="Verdana" w:eastAsia="Times New Roman" w:hAnsi="Verdana" w:cs="Times New Roman"/>
          <w:color w:val="000000"/>
          <w:sz w:val="16"/>
          <w:szCs w:val="16"/>
          <w:lang w:eastAsia="en-PH"/>
        </w:rPr>
        <w:t>Gruba</w:t>
      </w:r>
      <w:proofErr w:type="spellEnd"/>
      <w:r w:rsidRPr="000454A7">
        <w:rPr>
          <w:rFonts w:ascii="Verdana" w:eastAsia="Times New Roman" w:hAnsi="Verdana" w:cs="Times New Roman"/>
          <w:color w:val="000000"/>
          <w:sz w:val="16"/>
          <w:szCs w:val="16"/>
          <w:lang w:eastAsia="en-PH"/>
        </w:rPr>
        <w:t xml:space="preserve"> and Associate Judge Ramon O. De </w:t>
      </w:r>
      <w:proofErr w:type="spellStart"/>
      <w:r w:rsidRPr="000454A7">
        <w:rPr>
          <w:rFonts w:ascii="Verdana" w:eastAsia="Times New Roman" w:hAnsi="Verdana" w:cs="Times New Roman"/>
          <w:color w:val="000000"/>
          <w:sz w:val="16"/>
          <w:szCs w:val="16"/>
          <w:lang w:eastAsia="en-PH"/>
        </w:rPr>
        <w:t>Veyra</w:t>
      </w:r>
      <w:proofErr w:type="spellEnd"/>
      <w:r w:rsidRPr="000454A7">
        <w:rPr>
          <w:rFonts w:ascii="Verdana" w:eastAsia="Times New Roman" w:hAnsi="Verdana" w:cs="Times New Roman"/>
          <w:color w:val="000000"/>
          <w:sz w:val="16"/>
          <w:szCs w:val="16"/>
          <w:lang w:eastAsia="en-PH"/>
        </w:rPr>
        <w:t xml:space="preserve">; </w:t>
      </w:r>
      <w:proofErr w:type="spellStart"/>
      <w:r w:rsidRPr="000454A7">
        <w:rPr>
          <w:rFonts w:ascii="Verdana" w:eastAsia="Times New Roman" w:hAnsi="Verdana" w:cs="Times New Roman"/>
          <w:color w:val="000000"/>
          <w:sz w:val="16"/>
          <w:szCs w:val="16"/>
          <w:lang w:eastAsia="en-PH"/>
        </w:rPr>
        <w:t>rollo</w:t>
      </w:r>
      <w:proofErr w:type="spellEnd"/>
      <w:r w:rsidRPr="000454A7">
        <w:rPr>
          <w:rFonts w:ascii="Verdana" w:eastAsia="Times New Roman" w:hAnsi="Verdana" w:cs="Times New Roman"/>
          <w:color w:val="000000"/>
          <w:sz w:val="16"/>
          <w:szCs w:val="16"/>
          <w:lang w:eastAsia="en-PH"/>
        </w:rPr>
        <w:t>, pp. 33-47.</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[3]</w:t>
      </w:r>
      <w:proofErr w:type="gramStart"/>
      <w:r w:rsidRPr="000454A7">
        <w:rPr>
          <w:rFonts w:ascii="Verdana" w:eastAsia="Times New Roman" w:hAnsi="Verdana" w:cs="Times New Roman"/>
          <w:color w:val="000000"/>
          <w:sz w:val="16"/>
          <w:szCs w:val="16"/>
          <w:lang w:eastAsia="en-PH"/>
        </w:rPr>
        <w:t>  Rollo</w:t>
      </w:r>
      <w:proofErr w:type="gramEnd"/>
      <w:r w:rsidRPr="000454A7">
        <w:rPr>
          <w:rFonts w:ascii="Verdana" w:eastAsia="Times New Roman" w:hAnsi="Verdana" w:cs="Times New Roman"/>
          <w:color w:val="000000"/>
          <w:sz w:val="16"/>
          <w:szCs w:val="16"/>
          <w:lang w:eastAsia="en-PH"/>
        </w:rPr>
        <w:t>, pp. 70-73.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[4]</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1, at p. 103.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[5]</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2, at p. 46.</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[6]</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3, at 73.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[7]</w:t>
      </w:r>
      <w:proofErr w:type="gramStart"/>
      <w:r w:rsidRPr="000454A7">
        <w:rPr>
          <w:rFonts w:ascii="Verdana" w:eastAsia="Times New Roman" w:hAnsi="Verdana" w:cs="Times New Roman"/>
          <w:color w:val="000000"/>
          <w:sz w:val="16"/>
          <w:szCs w:val="16"/>
          <w:lang w:eastAsia="en-PH"/>
        </w:rPr>
        <w:t>  Memorandum</w:t>
      </w:r>
      <w:proofErr w:type="gramEnd"/>
      <w:r w:rsidRPr="000454A7">
        <w:rPr>
          <w:rFonts w:ascii="Verdana" w:eastAsia="Times New Roman" w:hAnsi="Verdana" w:cs="Times New Roman"/>
          <w:color w:val="000000"/>
          <w:sz w:val="16"/>
          <w:szCs w:val="16"/>
          <w:lang w:eastAsia="en-PH"/>
        </w:rPr>
        <w:t xml:space="preserve"> of petitioner, </w:t>
      </w:r>
      <w:proofErr w:type="spellStart"/>
      <w:r w:rsidRPr="000454A7">
        <w:rPr>
          <w:rFonts w:ascii="Verdana" w:eastAsia="Times New Roman" w:hAnsi="Verdana" w:cs="Times New Roman"/>
          <w:color w:val="000000"/>
          <w:sz w:val="16"/>
          <w:szCs w:val="16"/>
          <w:lang w:eastAsia="en-PH"/>
        </w:rPr>
        <w:t>rollo</w:t>
      </w:r>
      <w:proofErr w:type="spellEnd"/>
      <w:r w:rsidRPr="000454A7">
        <w:rPr>
          <w:rFonts w:ascii="Verdana" w:eastAsia="Times New Roman" w:hAnsi="Verdana" w:cs="Times New Roman"/>
          <w:color w:val="000000"/>
          <w:sz w:val="16"/>
          <w:szCs w:val="16"/>
          <w:lang w:eastAsia="en-PH"/>
        </w:rPr>
        <w:t>, pp. 179-198, at p. 183.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[8]</w:t>
      </w:r>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Ibid.</w:t>
      </w:r>
      <w:r w:rsidRPr="000454A7">
        <w:rPr>
          <w:rFonts w:ascii="Verdana" w:eastAsia="Times New Roman" w:hAnsi="Verdana" w:cs="Times New Roman"/>
          <w:color w:val="000000"/>
          <w:sz w:val="16"/>
          <w:szCs w:val="16"/>
          <w:lang w:eastAsia="en-PH"/>
        </w:rPr>
        <w:t>, at p. 194.</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[9]</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2, pp. 37-38.</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lastRenderedPageBreak/>
        <w:t>[10]</w:t>
      </w:r>
      <w:proofErr w:type="gramStart"/>
      <w:r w:rsidRPr="000454A7">
        <w:rPr>
          <w:rFonts w:ascii="Verdana" w:eastAsia="Times New Roman" w:hAnsi="Verdana" w:cs="Times New Roman"/>
          <w:color w:val="000000"/>
          <w:sz w:val="16"/>
          <w:szCs w:val="16"/>
          <w:lang w:eastAsia="en-PH"/>
        </w:rPr>
        <w:t>  108</w:t>
      </w:r>
      <w:proofErr w:type="gramEnd"/>
      <w:r w:rsidRPr="000454A7">
        <w:rPr>
          <w:rFonts w:ascii="Verdana" w:eastAsia="Times New Roman" w:hAnsi="Verdana" w:cs="Times New Roman"/>
          <w:color w:val="000000"/>
          <w:sz w:val="16"/>
          <w:szCs w:val="16"/>
          <w:lang w:eastAsia="en-PH"/>
        </w:rPr>
        <w:t xml:space="preserve"> SCRA 142 (1981).</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[11]</w:t>
      </w:r>
      <w:proofErr w:type="gramStart"/>
      <w:r w:rsidRPr="000454A7">
        <w:rPr>
          <w:rFonts w:ascii="Verdana" w:eastAsia="Times New Roman" w:hAnsi="Verdana" w:cs="Times New Roman"/>
          <w:color w:val="000000"/>
          <w:sz w:val="16"/>
          <w:szCs w:val="16"/>
          <w:lang w:eastAsia="en-PH"/>
        </w:rPr>
        <w:t>  204</w:t>
      </w:r>
      <w:proofErr w:type="gramEnd"/>
      <w:r w:rsidRPr="000454A7">
        <w:rPr>
          <w:rFonts w:ascii="Verdana" w:eastAsia="Times New Roman" w:hAnsi="Verdana" w:cs="Times New Roman"/>
          <w:color w:val="000000"/>
          <w:sz w:val="16"/>
          <w:szCs w:val="16"/>
          <w:lang w:eastAsia="en-PH"/>
        </w:rPr>
        <w:t xml:space="preserve"> SCRA 957 (1991).</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[12]</w:t>
      </w:r>
      <w:proofErr w:type="gramStart"/>
      <w:r w:rsidRPr="000454A7">
        <w:rPr>
          <w:rFonts w:ascii="Verdana" w:eastAsia="Times New Roman" w:hAnsi="Verdana" w:cs="Times New Roman"/>
          <w:color w:val="000000"/>
          <w:sz w:val="16"/>
          <w:szCs w:val="16"/>
          <w:lang w:eastAsia="en-PH"/>
        </w:rPr>
        <w:t>  205</w:t>
      </w:r>
      <w:proofErr w:type="gramEnd"/>
      <w:r w:rsidRPr="000454A7">
        <w:rPr>
          <w:rFonts w:ascii="Verdana" w:eastAsia="Times New Roman" w:hAnsi="Verdana" w:cs="Times New Roman"/>
          <w:color w:val="000000"/>
          <w:sz w:val="16"/>
          <w:szCs w:val="16"/>
          <w:lang w:eastAsia="en-PH"/>
        </w:rPr>
        <w:t xml:space="preserve"> SCRA 184 (1992).</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[13]</w:t>
      </w:r>
      <w:proofErr w:type="gramStart"/>
      <w:r w:rsidRPr="000454A7">
        <w:rPr>
          <w:rFonts w:ascii="Verdana" w:eastAsia="Times New Roman" w:hAnsi="Verdana" w:cs="Times New Roman"/>
          <w:color w:val="000000"/>
          <w:sz w:val="16"/>
          <w:szCs w:val="16"/>
          <w:lang w:eastAsia="en-PH"/>
        </w:rPr>
        <w:t>  </w:t>
      </w:r>
      <w:proofErr w:type="spellStart"/>
      <w:r w:rsidRPr="000454A7">
        <w:rPr>
          <w:rFonts w:ascii="Verdana" w:eastAsia="Times New Roman" w:hAnsi="Verdana" w:cs="Times New Roman"/>
          <w:i/>
          <w:iCs/>
          <w:color w:val="000000"/>
          <w:sz w:val="16"/>
          <w:szCs w:val="16"/>
          <w:lang w:eastAsia="en-PH"/>
        </w:rPr>
        <w:t>Napocor</w:t>
      </w:r>
      <w:proofErr w:type="spellEnd"/>
      <w:proofErr w:type="gramEnd"/>
      <w:r w:rsidRPr="000454A7">
        <w:rPr>
          <w:rFonts w:ascii="Verdana" w:eastAsia="Times New Roman" w:hAnsi="Verdana" w:cs="Times New Roman"/>
          <w:i/>
          <w:iCs/>
          <w:color w:val="000000"/>
          <w:sz w:val="16"/>
          <w:szCs w:val="16"/>
          <w:lang w:eastAsia="en-PH"/>
        </w:rPr>
        <w:t xml:space="preserve"> vs. Province of </w:t>
      </w:r>
      <w:proofErr w:type="spellStart"/>
      <w:r w:rsidRPr="000454A7">
        <w:rPr>
          <w:rFonts w:ascii="Verdana" w:eastAsia="Times New Roman" w:hAnsi="Verdana" w:cs="Times New Roman"/>
          <w:i/>
          <w:iCs/>
          <w:color w:val="000000"/>
          <w:sz w:val="16"/>
          <w:szCs w:val="16"/>
          <w:lang w:eastAsia="en-PH"/>
        </w:rPr>
        <w:t>Albay</w:t>
      </w:r>
      <w:proofErr w:type="spell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186 SCRA 198 (1990), at p. 207.</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[14]</w:t>
      </w:r>
      <w:proofErr w:type="gramStart"/>
      <w:r w:rsidRPr="000454A7">
        <w:rPr>
          <w:rFonts w:ascii="Verdana" w:eastAsia="Times New Roman" w:hAnsi="Verdana" w:cs="Times New Roman"/>
          <w:color w:val="000000"/>
          <w:sz w:val="16"/>
          <w:szCs w:val="16"/>
          <w:lang w:eastAsia="en-PH"/>
        </w:rPr>
        <w:t xml:space="preserve">  </w:t>
      </w:r>
      <w:proofErr w:type="spellStart"/>
      <w:r w:rsidRPr="000454A7">
        <w:rPr>
          <w:rFonts w:ascii="Verdana" w:eastAsia="Times New Roman" w:hAnsi="Verdana" w:cs="Times New Roman"/>
          <w:color w:val="000000"/>
          <w:sz w:val="16"/>
          <w:szCs w:val="16"/>
          <w:lang w:eastAsia="en-PH"/>
        </w:rPr>
        <w:t>Teodoro</w:t>
      </w:r>
      <w:proofErr w:type="spellEnd"/>
      <w:proofErr w:type="gramEnd"/>
      <w:r w:rsidRPr="000454A7">
        <w:rPr>
          <w:rFonts w:ascii="Verdana" w:eastAsia="Times New Roman" w:hAnsi="Verdana" w:cs="Times New Roman"/>
          <w:color w:val="000000"/>
          <w:sz w:val="16"/>
          <w:szCs w:val="16"/>
          <w:lang w:eastAsia="en-PH"/>
        </w:rPr>
        <w:t xml:space="preserve"> and de Leon, Law on Income Taxation, 1993 ed., at 485.</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[15]</w:t>
      </w:r>
      <w:proofErr w:type="gramStart"/>
      <w:r w:rsidRPr="000454A7">
        <w:rPr>
          <w:rFonts w:ascii="Verdana" w:eastAsia="Times New Roman" w:hAnsi="Verdana" w:cs="Times New Roman"/>
          <w:color w:val="000000"/>
          <w:sz w:val="16"/>
          <w:szCs w:val="16"/>
          <w:lang w:eastAsia="en-PH"/>
        </w:rPr>
        <w:t>  244</w:t>
      </w:r>
      <w:proofErr w:type="gramEnd"/>
      <w:r w:rsidRPr="000454A7">
        <w:rPr>
          <w:rFonts w:ascii="Verdana" w:eastAsia="Times New Roman" w:hAnsi="Verdana" w:cs="Times New Roman"/>
          <w:color w:val="000000"/>
          <w:sz w:val="16"/>
          <w:szCs w:val="16"/>
          <w:lang w:eastAsia="en-PH"/>
        </w:rPr>
        <w:t xml:space="preserve"> SCRA 446 (1995).</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[16]</w:t>
      </w:r>
      <w:proofErr w:type="gramStart"/>
      <w:r w:rsidRPr="000454A7">
        <w:rPr>
          <w:rFonts w:ascii="Verdana" w:eastAsia="Times New Roman" w:hAnsi="Verdana" w:cs="Times New Roman"/>
          <w:color w:val="000000"/>
          <w:sz w:val="16"/>
          <w:szCs w:val="16"/>
          <w:lang w:eastAsia="en-PH"/>
        </w:rPr>
        <w:t>  Declaration</w:t>
      </w:r>
      <w:proofErr w:type="gramEnd"/>
      <w:r w:rsidRPr="000454A7">
        <w:rPr>
          <w:rFonts w:ascii="Verdana" w:eastAsia="Times New Roman" w:hAnsi="Verdana" w:cs="Times New Roman"/>
          <w:color w:val="000000"/>
          <w:sz w:val="16"/>
          <w:szCs w:val="16"/>
          <w:lang w:eastAsia="en-PH"/>
        </w:rPr>
        <w:t xml:space="preserve"> of Corporate Quarterly Income Tax (now  Sec. 75, 1997 NIRC).</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[17]</w:t>
      </w:r>
      <w:proofErr w:type="gramStart"/>
      <w:r w:rsidRPr="000454A7">
        <w:rPr>
          <w:rFonts w:ascii="Verdana" w:eastAsia="Times New Roman" w:hAnsi="Verdana" w:cs="Times New Roman"/>
          <w:color w:val="000000"/>
          <w:sz w:val="16"/>
          <w:szCs w:val="16"/>
          <w:lang w:eastAsia="en-PH"/>
        </w:rPr>
        <w:t>  Final</w:t>
      </w:r>
      <w:proofErr w:type="gramEnd"/>
      <w:r w:rsidRPr="000454A7">
        <w:rPr>
          <w:rFonts w:ascii="Verdana" w:eastAsia="Times New Roman" w:hAnsi="Verdana" w:cs="Times New Roman"/>
          <w:color w:val="000000"/>
          <w:sz w:val="16"/>
          <w:szCs w:val="16"/>
          <w:lang w:eastAsia="en-PH"/>
        </w:rPr>
        <w:t xml:space="preserve"> Adjustment Return (now  Sec. 76, 1997 NIRC).</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[18]</w:t>
      </w:r>
      <w:proofErr w:type="gramStart"/>
      <w:r w:rsidRPr="000454A7">
        <w:rPr>
          <w:rFonts w:ascii="Verdana" w:eastAsia="Times New Roman" w:hAnsi="Verdana" w:cs="Times New Roman"/>
          <w:color w:val="000000"/>
          <w:sz w:val="16"/>
          <w:szCs w:val="16"/>
          <w:lang w:eastAsia="en-PH"/>
        </w:rPr>
        <w:t>  Place</w:t>
      </w:r>
      <w:proofErr w:type="gramEnd"/>
      <w:r w:rsidRPr="000454A7">
        <w:rPr>
          <w:rFonts w:ascii="Verdana" w:eastAsia="Times New Roman" w:hAnsi="Verdana" w:cs="Times New Roman"/>
          <w:color w:val="000000"/>
          <w:sz w:val="16"/>
          <w:szCs w:val="16"/>
          <w:lang w:eastAsia="en-PH"/>
        </w:rPr>
        <w:t xml:space="preserve"> of Filing (now Sec. 77, 1997 NIRC).</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[19]</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15, at p. 453.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[20]</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People</w:t>
      </w:r>
      <w:proofErr w:type="gramEnd"/>
      <w:r w:rsidRPr="000454A7">
        <w:rPr>
          <w:rFonts w:ascii="Verdana" w:eastAsia="Times New Roman" w:hAnsi="Verdana" w:cs="Times New Roman"/>
          <w:i/>
          <w:iCs/>
          <w:color w:val="000000"/>
          <w:sz w:val="16"/>
          <w:szCs w:val="16"/>
          <w:lang w:eastAsia="en-PH"/>
        </w:rPr>
        <w:t xml:space="preserve"> vs. Hernandez,</w:t>
      </w:r>
      <w:r w:rsidRPr="000454A7">
        <w:rPr>
          <w:rFonts w:ascii="Verdana" w:eastAsia="Times New Roman" w:hAnsi="Verdana" w:cs="Times New Roman"/>
          <w:color w:val="000000"/>
          <w:sz w:val="16"/>
          <w:szCs w:val="16"/>
          <w:lang w:eastAsia="en-PH"/>
        </w:rPr>
        <w:t> 59 Phil. 272 (1933) at p. 276; </w:t>
      </w:r>
      <w:r w:rsidRPr="000454A7">
        <w:rPr>
          <w:rFonts w:ascii="Verdana" w:eastAsia="Times New Roman" w:hAnsi="Verdana" w:cs="Times New Roman"/>
          <w:b/>
          <w:bCs/>
          <w:color w:val="000000"/>
          <w:sz w:val="16"/>
          <w:szCs w:val="16"/>
          <w:lang w:eastAsia="en-PH"/>
        </w:rPr>
        <w:t>Molina vs. Rafferty,</w:t>
      </w:r>
      <w:r w:rsidRPr="000454A7">
        <w:rPr>
          <w:rFonts w:ascii="Verdana" w:eastAsia="Times New Roman" w:hAnsi="Verdana" w:cs="Times New Roman"/>
          <w:color w:val="000000"/>
          <w:sz w:val="16"/>
          <w:szCs w:val="16"/>
          <w:lang w:eastAsia="en-PH"/>
        </w:rPr>
        <w:t> 37 Phil. 545 (1918) at p. 555.</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[21]</w:t>
      </w:r>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Commissioner of Internal Revenue vs. Court of Appeals,</w:t>
      </w:r>
      <w:r w:rsidRPr="000454A7">
        <w:rPr>
          <w:rFonts w:ascii="Verdana" w:eastAsia="Times New Roman" w:hAnsi="Verdana" w:cs="Times New Roman"/>
          <w:color w:val="000000"/>
          <w:sz w:val="16"/>
          <w:szCs w:val="16"/>
          <w:lang w:eastAsia="en-PH"/>
        </w:rPr>
        <w:t> 240 SCRA 368 (1993) at p. 372.</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[22]</w:t>
      </w:r>
      <w:proofErr w:type="gramStart"/>
      <w:r w:rsidRPr="000454A7">
        <w:rPr>
          <w:rFonts w:ascii="Verdana" w:eastAsia="Times New Roman" w:hAnsi="Verdana" w:cs="Times New Roman"/>
          <w:color w:val="000000"/>
          <w:sz w:val="16"/>
          <w:szCs w:val="16"/>
          <w:lang w:eastAsia="en-PH"/>
        </w:rPr>
        <w:t>  108</w:t>
      </w:r>
      <w:proofErr w:type="gramEnd"/>
      <w:r w:rsidRPr="000454A7">
        <w:rPr>
          <w:rFonts w:ascii="Verdana" w:eastAsia="Times New Roman" w:hAnsi="Verdana" w:cs="Times New Roman"/>
          <w:color w:val="000000"/>
          <w:sz w:val="16"/>
          <w:szCs w:val="16"/>
          <w:lang w:eastAsia="en-PH"/>
        </w:rPr>
        <w:t xml:space="preserve"> Phil. 1091 (1960).</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[23]</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Ibid</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at pp. 1093-1094.</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[24]</w:t>
      </w:r>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Republic vs. Intermediate Appellate Court</w:t>
      </w:r>
      <w:r w:rsidRPr="000454A7">
        <w:rPr>
          <w:rFonts w:ascii="Verdana" w:eastAsia="Times New Roman" w:hAnsi="Verdana" w:cs="Times New Roman"/>
          <w:color w:val="000000"/>
          <w:sz w:val="16"/>
          <w:szCs w:val="16"/>
          <w:lang w:eastAsia="en-PH"/>
        </w:rPr>
        <w:t>, 209 SCRA 90 (1992); </w:t>
      </w:r>
      <w:r w:rsidRPr="000454A7">
        <w:rPr>
          <w:rFonts w:ascii="Verdana" w:eastAsia="Times New Roman" w:hAnsi="Verdana" w:cs="Times New Roman"/>
          <w:i/>
          <w:iCs/>
          <w:color w:val="000000"/>
          <w:sz w:val="16"/>
          <w:szCs w:val="16"/>
          <w:lang w:eastAsia="en-PH"/>
        </w:rPr>
        <w:t>DBP vs. Commission on Audit,</w:t>
      </w:r>
      <w:r w:rsidRPr="000454A7">
        <w:rPr>
          <w:rFonts w:ascii="Verdana" w:eastAsia="Times New Roman" w:hAnsi="Verdana" w:cs="Times New Roman"/>
          <w:color w:val="000000"/>
          <w:sz w:val="16"/>
          <w:szCs w:val="16"/>
          <w:lang w:eastAsia="en-PH"/>
        </w:rPr>
        <w:t> 231 SCRA 202 (1994); </w:t>
      </w:r>
      <w:r w:rsidRPr="000454A7">
        <w:rPr>
          <w:rFonts w:ascii="Verdana" w:eastAsia="Times New Roman" w:hAnsi="Verdana" w:cs="Times New Roman"/>
          <w:i/>
          <w:iCs/>
          <w:color w:val="000000"/>
          <w:sz w:val="16"/>
          <w:szCs w:val="16"/>
          <w:lang w:eastAsia="en-PH"/>
        </w:rPr>
        <w:t>Sharp International Marketing vs. CA, </w:t>
      </w:r>
      <w:r w:rsidRPr="000454A7">
        <w:rPr>
          <w:rFonts w:ascii="Verdana" w:eastAsia="Times New Roman" w:hAnsi="Verdana" w:cs="Times New Roman"/>
          <w:color w:val="000000"/>
          <w:sz w:val="16"/>
          <w:szCs w:val="16"/>
          <w:lang w:eastAsia="en-PH"/>
        </w:rPr>
        <w:t>201 SCRA 299 (1991); </w:t>
      </w:r>
      <w:r w:rsidRPr="000454A7">
        <w:rPr>
          <w:rFonts w:ascii="Verdana" w:eastAsia="Times New Roman" w:hAnsi="Verdana" w:cs="Times New Roman"/>
          <w:i/>
          <w:iCs/>
          <w:color w:val="000000"/>
          <w:sz w:val="16"/>
          <w:szCs w:val="16"/>
          <w:lang w:eastAsia="en-PH"/>
        </w:rPr>
        <w:t>GSIS vs. CA,</w:t>
      </w:r>
      <w:r w:rsidRPr="000454A7">
        <w:rPr>
          <w:rFonts w:ascii="Verdana" w:eastAsia="Times New Roman" w:hAnsi="Verdana" w:cs="Times New Roman"/>
          <w:color w:val="000000"/>
          <w:sz w:val="16"/>
          <w:szCs w:val="16"/>
          <w:lang w:eastAsia="en-PH"/>
        </w:rPr>
        <w:t> 218 SCRA 233 (1990 citing </w:t>
      </w:r>
      <w:proofErr w:type="spellStart"/>
      <w:r w:rsidRPr="000454A7">
        <w:rPr>
          <w:rFonts w:ascii="Verdana" w:eastAsia="Times New Roman" w:hAnsi="Verdana" w:cs="Times New Roman"/>
          <w:i/>
          <w:iCs/>
          <w:color w:val="000000"/>
          <w:sz w:val="16"/>
          <w:szCs w:val="16"/>
          <w:lang w:eastAsia="en-PH"/>
        </w:rPr>
        <w:t>Beronilla</w:t>
      </w:r>
      <w:proofErr w:type="spellEnd"/>
      <w:r w:rsidRPr="000454A7">
        <w:rPr>
          <w:rFonts w:ascii="Verdana" w:eastAsia="Times New Roman" w:hAnsi="Verdana" w:cs="Times New Roman"/>
          <w:i/>
          <w:iCs/>
          <w:color w:val="000000"/>
          <w:sz w:val="16"/>
          <w:szCs w:val="16"/>
          <w:lang w:eastAsia="en-PH"/>
        </w:rPr>
        <w:t xml:space="preserve"> vs. GSIS</w:t>
      </w:r>
      <w:r w:rsidRPr="000454A7">
        <w:rPr>
          <w:rFonts w:ascii="Verdana" w:eastAsia="Times New Roman" w:hAnsi="Verdana" w:cs="Times New Roman"/>
          <w:color w:val="000000"/>
          <w:sz w:val="16"/>
          <w:szCs w:val="16"/>
          <w:lang w:eastAsia="en-PH"/>
        </w:rPr>
        <w:t>, 36 SCRA 44, 55 (1970); </w:t>
      </w:r>
      <w:r w:rsidRPr="000454A7">
        <w:rPr>
          <w:rFonts w:ascii="Verdana" w:eastAsia="Times New Roman" w:hAnsi="Verdana" w:cs="Times New Roman"/>
          <w:i/>
          <w:iCs/>
          <w:color w:val="000000"/>
          <w:sz w:val="16"/>
          <w:szCs w:val="16"/>
          <w:lang w:eastAsia="en-PH"/>
        </w:rPr>
        <w:t>Republic vs. PLDT,</w:t>
      </w:r>
      <w:r w:rsidRPr="000454A7">
        <w:rPr>
          <w:rFonts w:ascii="Verdana" w:eastAsia="Times New Roman" w:hAnsi="Verdana" w:cs="Times New Roman"/>
          <w:color w:val="000000"/>
          <w:sz w:val="16"/>
          <w:szCs w:val="16"/>
          <w:lang w:eastAsia="en-PH"/>
        </w:rPr>
        <w:t> 26 SCRA 620 (1969); </w:t>
      </w:r>
      <w:r w:rsidRPr="000454A7">
        <w:rPr>
          <w:rFonts w:ascii="Verdana" w:eastAsia="Times New Roman" w:hAnsi="Verdana" w:cs="Times New Roman"/>
          <w:i/>
          <w:iCs/>
          <w:color w:val="000000"/>
          <w:sz w:val="16"/>
          <w:szCs w:val="16"/>
          <w:lang w:eastAsia="en-PH"/>
        </w:rPr>
        <w:t xml:space="preserve">Pineda vs. CFI of </w:t>
      </w:r>
      <w:proofErr w:type="spellStart"/>
      <w:r w:rsidRPr="000454A7">
        <w:rPr>
          <w:rFonts w:ascii="Verdana" w:eastAsia="Times New Roman" w:hAnsi="Verdana" w:cs="Times New Roman"/>
          <w:i/>
          <w:iCs/>
          <w:color w:val="000000"/>
          <w:sz w:val="16"/>
          <w:szCs w:val="16"/>
          <w:lang w:eastAsia="en-PH"/>
        </w:rPr>
        <w:t>Tayabas</w:t>
      </w:r>
      <w:proofErr w:type="spell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52 Phil. 803 (1929); </w:t>
      </w:r>
      <w:proofErr w:type="spellStart"/>
      <w:r w:rsidRPr="000454A7">
        <w:rPr>
          <w:rFonts w:ascii="Verdana" w:eastAsia="Times New Roman" w:hAnsi="Verdana" w:cs="Times New Roman"/>
          <w:i/>
          <w:iCs/>
          <w:color w:val="000000"/>
          <w:sz w:val="16"/>
          <w:szCs w:val="16"/>
          <w:lang w:eastAsia="en-PH"/>
        </w:rPr>
        <w:t>Benguet</w:t>
      </w:r>
      <w:proofErr w:type="spellEnd"/>
      <w:r w:rsidRPr="000454A7">
        <w:rPr>
          <w:rFonts w:ascii="Verdana" w:eastAsia="Times New Roman" w:hAnsi="Verdana" w:cs="Times New Roman"/>
          <w:i/>
          <w:iCs/>
          <w:color w:val="000000"/>
          <w:sz w:val="16"/>
          <w:szCs w:val="16"/>
          <w:lang w:eastAsia="en-PH"/>
        </w:rPr>
        <w:t xml:space="preserve"> Consolidated Mining Co vs. Pineda,</w:t>
      </w:r>
      <w:r w:rsidRPr="000454A7">
        <w:rPr>
          <w:rFonts w:ascii="Verdana" w:eastAsia="Times New Roman" w:hAnsi="Verdana" w:cs="Times New Roman"/>
          <w:color w:val="000000"/>
          <w:sz w:val="16"/>
          <w:szCs w:val="16"/>
          <w:lang w:eastAsia="en-PH"/>
        </w:rPr>
        <w:t> 98 Phil. 711 (1956); </w:t>
      </w:r>
      <w:r w:rsidRPr="000454A7">
        <w:rPr>
          <w:rFonts w:ascii="Verdana" w:eastAsia="Times New Roman" w:hAnsi="Verdana" w:cs="Times New Roman"/>
          <w:i/>
          <w:iCs/>
          <w:color w:val="000000"/>
          <w:sz w:val="16"/>
          <w:szCs w:val="16"/>
          <w:lang w:eastAsia="en-PH"/>
        </w:rPr>
        <w:t>Republic vs. Philippine Rabbit Bus Lines, Inc.,</w:t>
      </w:r>
      <w:r w:rsidRPr="000454A7">
        <w:rPr>
          <w:rFonts w:ascii="Verdana" w:eastAsia="Times New Roman" w:hAnsi="Verdana" w:cs="Times New Roman"/>
          <w:color w:val="000000"/>
          <w:sz w:val="16"/>
          <w:szCs w:val="16"/>
          <w:lang w:eastAsia="en-PH"/>
        </w:rPr>
        <w:t> 32 SCRA 211 (1970); </w:t>
      </w:r>
      <w:r w:rsidRPr="000454A7">
        <w:rPr>
          <w:rFonts w:ascii="Verdana" w:eastAsia="Times New Roman" w:hAnsi="Verdana" w:cs="Times New Roman"/>
          <w:i/>
          <w:iCs/>
          <w:color w:val="000000"/>
          <w:sz w:val="16"/>
          <w:szCs w:val="16"/>
          <w:lang w:eastAsia="en-PH"/>
        </w:rPr>
        <w:t>People vs. Castaneda,</w:t>
      </w:r>
      <w:r w:rsidRPr="000454A7">
        <w:rPr>
          <w:rFonts w:ascii="Verdana" w:eastAsia="Times New Roman" w:hAnsi="Verdana" w:cs="Times New Roman"/>
          <w:color w:val="000000"/>
          <w:sz w:val="16"/>
          <w:szCs w:val="16"/>
          <w:lang w:eastAsia="en-PH"/>
        </w:rPr>
        <w:t> 165 SCRA 327 (1988).</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[25]</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1, at p. 102.</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[26]</w:t>
      </w:r>
      <w:proofErr w:type="gramStart"/>
      <w:r w:rsidRPr="000454A7">
        <w:rPr>
          <w:rFonts w:ascii="Verdana" w:eastAsia="Times New Roman" w:hAnsi="Verdana" w:cs="Times New Roman"/>
          <w:color w:val="000000"/>
          <w:sz w:val="16"/>
          <w:szCs w:val="16"/>
          <w:lang w:eastAsia="en-PH"/>
        </w:rPr>
        <w:t>  Sec</w:t>
      </w:r>
      <w:proofErr w:type="gramEnd"/>
      <w:r w:rsidRPr="000454A7">
        <w:rPr>
          <w:rFonts w:ascii="Verdana" w:eastAsia="Times New Roman" w:hAnsi="Verdana" w:cs="Times New Roman"/>
          <w:color w:val="000000"/>
          <w:sz w:val="16"/>
          <w:szCs w:val="16"/>
          <w:lang w:eastAsia="en-PH"/>
        </w:rPr>
        <w:t>. 8.  Judicial decisions applying or interpreting the laws or the Constitution shall form a part of the legal system of the Philippines.</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[27]</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Tan</w:t>
      </w:r>
      <w:proofErr w:type="gramEnd"/>
      <w:r w:rsidRPr="000454A7">
        <w:rPr>
          <w:rFonts w:ascii="Verdana" w:eastAsia="Times New Roman" w:hAnsi="Verdana" w:cs="Times New Roman"/>
          <w:i/>
          <w:iCs/>
          <w:color w:val="000000"/>
          <w:sz w:val="16"/>
          <w:szCs w:val="16"/>
          <w:lang w:eastAsia="en-PH"/>
        </w:rPr>
        <w:t xml:space="preserve"> Guan vs. Court of Tax Appeals,</w:t>
      </w:r>
      <w:r w:rsidRPr="000454A7">
        <w:rPr>
          <w:rFonts w:ascii="Verdana" w:eastAsia="Times New Roman" w:hAnsi="Verdana" w:cs="Times New Roman"/>
          <w:color w:val="000000"/>
          <w:sz w:val="16"/>
          <w:szCs w:val="16"/>
          <w:lang w:eastAsia="en-PH"/>
        </w:rPr>
        <w:t> 19 SCRA 903 (1967) at p. 907;  </w:t>
      </w:r>
      <w:proofErr w:type="spellStart"/>
      <w:r w:rsidRPr="000454A7">
        <w:rPr>
          <w:rFonts w:ascii="Verdana" w:eastAsia="Times New Roman" w:hAnsi="Verdana" w:cs="Times New Roman"/>
          <w:i/>
          <w:iCs/>
          <w:color w:val="000000"/>
          <w:sz w:val="16"/>
          <w:szCs w:val="16"/>
          <w:lang w:eastAsia="en-PH"/>
        </w:rPr>
        <w:t>Compania</w:t>
      </w:r>
      <w:proofErr w:type="spellEnd"/>
      <w:r w:rsidRPr="000454A7">
        <w:rPr>
          <w:rFonts w:ascii="Verdana" w:eastAsia="Times New Roman" w:hAnsi="Verdana" w:cs="Times New Roman"/>
          <w:i/>
          <w:iCs/>
          <w:color w:val="000000"/>
          <w:sz w:val="16"/>
          <w:szCs w:val="16"/>
          <w:lang w:eastAsia="en-PH"/>
        </w:rPr>
        <w:t xml:space="preserve"> General de </w:t>
      </w:r>
      <w:proofErr w:type="spellStart"/>
      <w:r w:rsidRPr="000454A7">
        <w:rPr>
          <w:rFonts w:ascii="Verdana" w:eastAsia="Times New Roman" w:hAnsi="Verdana" w:cs="Times New Roman"/>
          <w:i/>
          <w:iCs/>
          <w:color w:val="000000"/>
          <w:sz w:val="16"/>
          <w:szCs w:val="16"/>
          <w:lang w:eastAsia="en-PH"/>
        </w:rPr>
        <w:t>Tabacos</w:t>
      </w:r>
      <w:proofErr w:type="spellEnd"/>
      <w:r w:rsidRPr="000454A7">
        <w:rPr>
          <w:rFonts w:ascii="Verdana" w:eastAsia="Times New Roman" w:hAnsi="Verdana" w:cs="Times New Roman"/>
          <w:i/>
          <w:iCs/>
          <w:color w:val="000000"/>
          <w:sz w:val="16"/>
          <w:szCs w:val="16"/>
          <w:lang w:eastAsia="en-PH"/>
        </w:rPr>
        <w:t xml:space="preserve"> de Filipinas vs. City of Manila,</w:t>
      </w:r>
      <w:r w:rsidRPr="000454A7">
        <w:rPr>
          <w:rFonts w:ascii="Verdana" w:eastAsia="Times New Roman" w:hAnsi="Verdana" w:cs="Times New Roman"/>
          <w:color w:val="000000"/>
          <w:sz w:val="16"/>
          <w:szCs w:val="16"/>
          <w:lang w:eastAsia="en-PH"/>
        </w:rPr>
        <w:t> 8 SCRA, 367 (1963) at p. 372.</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[28]</w:t>
      </w:r>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Commissioner of Internal Revenue vs. Tokyo shipping Co., Ltd.</w:t>
      </w:r>
      <w:r w:rsidRPr="000454A7">
        <w:rPr>
          <w:rFonts w:ascii="Verdana" w:eastAsia="Times New Roman" w:hAnsi="Verdana" w:cs="Times New Roman"/>
          <w:color w:val="000000"/>
          <w:sz w:val="16"/>
          <w:szCs w:val="16"/>
          <w:lang w:eastAsia="en-PH"/>
        </w:rPr>
        <w:t>, 244 SCRA 332, </w:t>
      </w:r>
      <w:r w:rsidRPr="000454A7">
        <w:rPr>
          <w:rFonts w:ascii="Verdana" w:eastAsia="Times New Roman" w:hAnsi="Verdana" w:cs="Times New Roman"/>
          <w:i/>
          <w:iCs/>
          <w:color w:val="000000"/>
          <w:sz w:val="16"/>
          <w:szCs w:val="16"/>
          <w:lang w:eastAsia="en-PH"/>
        </w:rPr>
        <w:t xml:space="preserve">Province of </w:t>
      </w:r>
      <w:proofErr w:type="spellStart"/>
      <w:r w:rsidRPr="000454A7">
        <w:rPr>
          <w:rFonts w:ascii="Verdana" w:eastAsia="Times New Roman" w:hAnsi="Verdana" w:cs="Times New Roman"/>
          <w:i/>
          <w:iCs/>
          <w:color w:val="000000"/>
          <w:sz w:val="16"/>
          <w:szCs w:val="16"/>
          <w:lang w:eastAsia="en-PH"/>
        </w:rPr>
        <w:t>Tarlac</w:t>
      </w:r>
      <w:proofErr w:type="spellEnd"/>
      <w:r w:rsidRPr="000454A7">
        <w:rPr>
          <w:rFonts w:ascii="Verdana" w:eastAsia="Times New Roman" w:hAnsi="Verdana" w:cs="Times New Roman"/>
          <w:i/>
          <w:iCs/>
          <w:color w:val="000000"/>
          <w:sz w:val="16"/>
          <w:szCs w:val="16"/>
          <w:lang w:eastAsia="en-PH"/>
        </w:rPr>
        <w:t xml:space="preserve"> vs. Alcantara,</w:t>
      </w:r>
      <w:r w:rsidRPr="000454A7">
        <w:rPr>
          <w:rFonts w:ascii="Verdana" w:eastAsia="Times New Roman" w:hAnsi="Verdana" w:cs="Times New Roman"/>
          <w:color w:val="000000"/>
          <w:sz w:val="16"/>
          <w:szCs w:val="16"/>
          <w:lang w:eastAsia="en-PH"/>
        </w:rPr>
        <w:t>216 SCRA 790, </w:t>
      </w:r>
      <w:r w:rsidRPr="000454A7">
        <w:rPr>
          <w:rFonts w:ascii="Verdana" w:eastAsia="Times New Roman" w:hAnsi="Verdana" w:cs="Times New Roman"/>
          <w:i/>
          <w:iCs/>
          <w:color w:val="000000"/>
          <w:sz w:val="16"/>
          <w:szCs w:val="16"/>
          <w:lang w:eastAsia="en-PH"/>
        </w:rPr>
        <w:t xml:space="preserve">Philippine Petroleum Corp. vs. Municipality of </w:t>
      </w:r>
      <w:proofErr w:type="spellStart"/>
      <w:r w:rsidRPr="000454A7">
        <w:rPr>
          <w:rFonts w:ascii="Verdana" w:eastAsia="Times New Roman" w:hAnsi="Verdana" w:cs="Times New Roman"/>
          <w:i/>
          <w:iCs/>
          <w:color w:val="000000"/>
          <w:sz w:val="16"/>
          <w:szCs w:val="16"/>
          <w:lang w:eastAsia="en-PH"/>
        </w:rPr>
        <w:t>Pililla</w:t>
      </w:r>
      <w:proofErr w:type="spellEnd"/>
      <w:r w:rsidRPr="000454A7">
        <w:rPr>
          <w:rFonts w:ascii="Verdana" w:eastAsia="Times New Roman" w:hAnsi="Verdana" w:cs="Times New Roman"/>
          <w:i/>
          <w:iCs/>
          <w:color w:val="000000"/>
          <w:sz w:val="16"/>
          <w:szCs w:val="16"/>
          <w:lang w:eastAsia="en-PH"/>
        </w:rPr>
        <w:t xml:space="preserve"> Rizal,</w:t>
      </w:r>
      <w:r w:rsidRPr="000454A7">
        <w:rPr>
          <w:rFonts w:ascii="Verdana" w:eastAsia="Times New Roman" w:hAnsi="Verdana" w:cs="Times New Roman"/>
          <w:color w:val="000000"/>
          <w:sz w:val="16"/>
          <w:szCs w:val="16"/>
          <w:lang w:eastAsia="en-PH"/>
        </w:rPr>
        <w:t> 198 SCRA 82, </w:t>
      </w:r>
      <w:r w:rsidRPr="000454A7">
        <w:rPr>
          <w:rFonts w:ascii="Verdana" w:eastAsia="Times New Roman" w:hAnsi="Verdana" w:cs="Times New Roman"/>
          <w:i/>
          <w:iCs/>
          <w:color w:val="000000"/>
          <w:sz w:val="16"/>
          <w:szCs w:val="16"/>
          <w:lang w:eastAsia="en-PH"/>
        </w:rPr>
        <w:t>Commissioner of Internal Revenue vs. Mitsubishi Metal Corp.</w:t>
      </w:r>
      <w:r w:rsidRPr="000454A7">
        <w:rPr>
          <w:rFonts w:ascii="Verdana" w:eastAsia="Times New Roman" w:hAnsi="Verdana" w:cs="Times New Roman"/>
          <w:color w:val="000000"/>
          <w:sz w:val="16"/>
          <w:szCs w:val="16"/>
          <w:lang w:eastAsia="en-PH"/>
        </w:rPr>
        <w:t>, 181 SCRA 214.</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[29]</w:t>
      </w:r>
      <w:proofErr w:type="gramStart"/>
      <w:r w:rsidRPr="000454A7">
        <w:rPr>
          <w:rFonts w:ascii="Verdana" w:eastAsia="Times New Roman" w:hAnsi="Verdana" w:cs="Times New Roman"/>
          <w:color w:val="000000"/>
          <w:sz w:val="16"/>
          <w:szCs w:val="16"/>
          <w:lang w:eastAsia="en-PH"/>
        </w:rPr>
        <w:t>  Sec</w:t>
      </w:r>
      <w:proofErr w:type="gramEnd"/>
      <w:r w:rsidRPr="000454A7">
        <w:rPr>
          <w:rFonts w:ascii="Verdana" w:eastAsia="Times New Roman" w:hAnsi="Verdana" w:cs="Times New Roman"/>
          <w:color w:val="000000"/>
          <w:sz w:val="16"/>
          <w:szCs w:val="16"/>
          <w:lang w:eastAsia="en-PH"/>
        </w:rPr>
        <w:t>. 69.  </w:t>
      </w:r>
      <w:r w:rsidRPr="000454A7">
        <w:rPr>
          <w:rFonts w:ascii="Verdana" w:eastAsia="Times New Roman" w:hAnsi="Verdana" w:cs="Times New Roman"/>
          <w:i/>
          <w:iCs/>
          <w:color w:val="000000"/>
          <w:sz w:val="16"/>
          <w:szCs w:val="16"/>
          <w:lang w:eastAsia="en-PH"/>
        </w:rPr>
        <w:t>Final Adjustment Return</w:t>
      </w:r>
      <w:r w:rsidRPr="000454A7">
        <w:rPr>
          <w:rFonts w:ascii="Verdana" w:eastAsia="Times New Roman" w:hAnsi="Verdana" w:cs="Times New Roman"/>
          <w:color w:val="000000"/>
          <w:sz w:val="16"/>
          <w:szCs w:val="16"/>
          <w:lang w:eastAsia="en-PH"/>
        </w:rPr>
        <w:t xml:space="preserve">-- Every </w:t>
      </w:r>
      <w:proofErr w:type="gramStart"/>
      <w:r w:rsidRPr="000454A7">
        <w:rPr>
          <w:rFonts w:ascii="Verdana" w:eastAsia="Times New Roman" w:hAnsi="Verdana" w:cs="Times New Roman"/>
          <w:color w:val="000000"/>
          <w:sz w:val="16"/>
          <w:szCs w:val="16"/>
          <w:lang w:eastAsia="en-PH"/>
        </w:rPr>
        <w:t>corporation</w:t>
      </w:r>
      <w:proofErr w:type="gramEnd"/>
      <w:r w:rsidRPr="000454A7">
        <w:rPr>
          <w:rFonts w:ascii="Verdana" w:eastAsia="Times New Roman" w:hAnsi="Verdana" w:cs="Times New Roman"/>
          <w:color w:val="000000"/>
          <w:sz w:val="16"/>
          <w:szCs w:val="16"/>
          <w:lang w:eastAsia="en-PH"/>
        </w:rPr>
        <w:t xml:space="preserve"> liable to tax under Section 24 shall file a final adjustment return covering the total net income for the preceding calendar or fiscal year.  If the sum of the quarterly tax payments made during the said taxable year is not equal to the total tax due on the entire taxable net income of that year the corporation shall either:</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t>a)    Pay the excess tax still due; or</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t>a)    Be refunded the excess amount paid, as the case may be.</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t>In case the corporation is entitled to a refund of the excess estimated quarterly income taxes paid, the refundable amount shown on its final adjustment return may be credited against the estimated quarterly income tax liabilities for the taxable quarters of the succeeding taxable year.</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[30]</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Supra</w:t>
      </w:r>
      <w:proofErr w:type="gramEnd"/>
      <w:r w:rsidRPr="000454A7">
        <w:rPr>
          <w:rFonts w:ascii="Verdana" w:eastAsia="Times New Roman" w:hAnsi="Verdana" w:cs="Times New Roman"/>
          <w:i/>
          <w:iCs/>
          <w:color w:val="000000"/>
          <w:sz w:val="16"/>
          <w:szCs w:val="16"/>
          <w:lang w:eastAsia="en-PH"/>
        </w:rPr>
        <w:t>,</w:t>
      </w:r>
      <w:r w:rsidRPr="000454A7">
        <w:rPr>
          <w:rFonts w:ascii="Verdana" w:eastAsia="Times New Roman" w:hAnsi="Verdana" w:cs="Times New Roman"/>
          <w:color w:val="000000"/>
          <w:sz w:val="16"/>
          <w:szCs w:val="16"/>
          <w:lang w:eastAsia="en-PH"/>
        </w:rPr>
        <w:t> see note 1, at p. 103.</w:t>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000000"/>
          <w:sz w:val="16"/>
          <w:szCs w:val="16"/>
          <w:lang w:eastAsia="en-PH"/>
        </w:rPr>
        <w:br/>
      </w:r>
      <w:r w:rsidRPr="000454A7">
        <w:rPr>
          <w:rFonts w:ascii="Verdana" w:eastAsia="Times New Roman" w:hAnsi="Verdana" w:cs="Times New Roman"/>
          <w:color w:val="FF0000"/>
          <w:sz w:val="16"/>
          <w:szCs w:val="16"/>
          <w:vertAlign w:val="superscript"/>
          <w:lang w:eastAsia="en-PH"/>
        </w:rPr>
        <w:t>[31]</w:t>
      </w:r>
      <w:proofErr w:type="gramStart"/>
      <w:r w:rsidRPr="000454A7">
        <w:rPr>
          <w:rFonts w:ascii="Verdana" w:eastAsia="Times New Roman" w:hAnsi="Verdana" w:cs="Times New Roman"/>
          <w:color w:val="000000"/>
          <w:sz w:val="16"/>
          <w:szCs w:val="16"/>
          <w:lang w:eastAsia="en-PH"/>
        </w:rPr>
        <w:t>  </w:t>
      </w:r>
      <w:r w:rsidRPr="000454A7">
        <w:rPr>
          <w:rFonts w:ascii="Verdana" w:eastAsia="Times New Roman" w:hAnsi="Verdana" w:cs="Times New Roman"/>
          <w:i/>
          <w:iCs/>
          <w:color w:val="000000"/>
          <w:sz w:val="16"/>
          <w:szCs w:val="16"/>
          <w:lang w:eastAsia="en-PH"/>
        </w:rPr>
        <w:t>Philippine</w:t>
      </w:r>
      <w:proofErr w:type="gramEnd"/>
      <w:r w:rsidRPr="000454A7">
        <w:rPr>
          <w:rFonts w:ascii="Verdana" w:eastAsia="Times New Roman" w:hAnsi="Verdana" w:cs="Times New Roman"/>
          <w:i/>
          <w:iCs/>
          <w:color w:val="000000"/>
          <w:sz w:val="16"/>
          <w:szCs w:val="16"/>
          <w:lang w:eastAsia="en-PH"/>
        </w:rPr>
        <w:t xml:space="preserve"> Refining Company vs. Court of Appeals,</w:t>
      </w:r>
      <w:r w:rsidRPr="000454A7">
        <w:rPr>
          <w:rFonts w:ascii="Verdana" w:eastAsia="Times New Roman" w:hAnsi="Verdana" w:cs="Times New Roman"/>
          <w:color w:val="000000"/>
          <w:sz w:val="16"/>
          <w:szCs w:val="16"/>
          <w:lang w:eastAsia="en-PH"/>
        </w:rPr>
        <w:t> 256 SCRA 667 (1996) at p. 676, citing:  </w:t>
      </w:r>
      <w:r w:rsidRPr="000454A7">
        <w:rPr>
          <w:rFonts w:ascii="Verdana" w:eastAsia="Times New Roman" w:hAnsi="Verdana" w:cs="Times New Roman"/>
          <w:i/>
          <w:iCs/>
          <w:color w:val="000000"/>
          <w:sz w:val="16"/>
          <w:szCs w:val="16"/>
          <w:lang w:eastAsia="en-PH"/>
        </w:rPr>
        <w:t>The Coca-Cola Export Corporation vs. Commissioner of Internal Revenue, et al.</w:t>
      </w:r>
      <w:r w:rsidRPr="000454A7">
        <w:rPr>
          <w:rFonts w:ascii="Verdana" w:eastAsia="Times New Roman" w:hAnsi="Verdana" w:cs="Times New Roman"/>
          <w:color w:val="000000"/>
          <w:sz w:val="16"/>
          <w:szCs w:val="16"/>
          <w:lang w:eastAsia="en-PH"/>
        </w:rPr>
        <w:t>, L-23604, March 15, 1974, 56 SCRA 5; </w:t>
      </w:r>
      <w:proofErr w:type="spellStart"/>
      <w:r w:rsidRPr="000454A7">
        <w:rPr>
          <w:rFonts w:ascii="Verdana" w:eastAsia="Times New Roman" w:hAnsi="Verdana" w:cs="Times New Roman"/>
          <w:i/>
          <w:iCs/>
          <w:color w:val="000000"/>
          <w:sz w:val="16"/>
          <w:szCs w:val="16"/>
          <w:lang w:eastAsia="en-PH"/>
        </w:rPr>
        <w:t>Nasiad</w:t>
      </w:r>
      <w:proofErr w:type="spellEnd"/>
      <w:r w:rsidRPr="000454A7">
        <w:rPr>
          <w:rFonts w:ascii="Verdana" w:eastAsia="Times New Roman" w:hAnsi="Verdana" w:cs="Times New Roman"/>
          <w:i/>
          <w:iCs/>
          <w:color w:val="000000"/>
          <w:sz w:val="16"/>
          <w:szCs w:val="16"/>
          <w:lang w:eastAsia="en-PH"/>
        </w:rPr>
        <w:t>, et al. vs. Court of Tax Appeals,</w:t>
      </w:r>
      <w:r w:rsidRPr="000454A7">
        <w:rPr>
          <w:rFonts w:ascii="Verdana" w:eastAsia="Times New Roman" w:hAnsi="Verdana" w:cs="Times New Roman"/>
          <w:color w:val="000000"/>
          <w:sz w:val="16"/>
          <w:szCs w:val="16"/>
          <w:lang w:eastAsia="en-PH"/>
        </w:rPr>
        <w:t> L-29318, November 29 1974, 61 SCRA 236.</w:t>
      </w:r>
    </w:p>
    <w:p w:rsidR="0018460D" w:rsidRDefault="000454A7" w:rsidP="000454A7">
      <w:pPr>
        <w:spacing w:before="300" w:after="0" w:line="240" w:lineRule="auto"/>
      </w:pPr>
      <w:r w:rsidRPr="000454A7">
        <w:rPr>
          <w:rFonts w:ascii="Times New Roman" w:eastAsia="Times New Roman" w:hAnsi="Times New Roman" w:cs="Times New Roman"/>
          <w:sz w:val="16"/>
          <w:szCs w:val="16"/>
          <w:lang w:eastAsia="en-PH"/>
        </w:rPr>
        <w:pict>
          <v:rect id="_x0000_i1026" style="width:0;height:1.5pt" o:hralign="center" o:hrstd="t" o:hrnoshade="t" o:hr="t" fillcolor="black" stroked="f"/>
        </w:pict>
      </w:r>
      <w:r w:rsidRPr="000454A7">
        <w:rPr>
          <w:rFonts w:ascii="Verdana" w:eastAsia="Times New Roman" w:hAnsi="Verdana" w:cs="Times New Roman"/>
          <w:color w:val="666666"/>
          <w:sz w:val="15"/>
          <w:szCs w:val="15"/>
          <w:lang w:eastAsia="en-PH"/>
        </w:rPr>
        <w:t> </w:t>
      </w:r>
      <w:r w:rsidRPr="000454A7">
        <w:rPr>
          <w:rFonts w:ascii="Verdana" w:eastAsia="Times New Roman" w:hAnsi="Verdana" w:cs="Times New Roman"/>
          <w:color w:val="666666"/>
          <w:sz w:val="15"/>
          <w:szCs w:val="15"/>
          <w:lang w:eastAsia="en-PH"/>
        </w:rPr>
        <w:br/>
        <w:t>S</w:t>
      </w:r>
      <w:r>
        <w:rPr>
          <w:rFonts w:ascii="Verdana" w:eastAsia="Times New Roman" w:hAnsi="Verdana" w:cs="Times New Roman"/>
          <w:color w:val="666666"/>
          <w:sz w:val="15"/>
          <w:szCs w:val="15"/>
          <w:lang w:eastAsia="en-PH"/>
        </w:rPr>
        <w:t>ource: Supreme Court E-Library </w:t>
      </w:r>
    </w:p>
    <w:sectPr w:rsidR="0018460D" w:rsidSect="000454A7">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4A7"/>
    <w:rsid w:val="000454A7"/>
    <w:rsid w:val="000A7B2F"/>
    <w:rsid w:val="00182455"/>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454A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454A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54A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454A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0454A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454A7"/>
    <w:rPr>
      <w:b/>
      <w:bCs/>
    </w:rPr>
  </w:style>
  <w:style w:type="paragraph" w:styleId="BalloonText">
    <w:name w:val="Balloon Text"/>
    <w:basedOn w:val="Normal"/>
    <w:link w:val="BalloonTextChar"/>
    <w:uiPriority w:val="99"/>
    <w:semiHidden/>
    <w:unhideWhenUsed/>
    <w:rsid w:val="000454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54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454A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454A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54A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454A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0454A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454A7"/>
    <w:rPr>
      <w:b/>
      <w:bCs/>
    </w:rPr>
  </w:style>
  <w:style w:type="paragraph" w:styleId="BalloonText">
    <w:name w:val="Balloon Text"/>
    <w:basedOn w:val="Normal"/>
    <w:link w:val="BalloonTextChar"/>
    <w:uiPriority w:val="99"/>
    <w:semiHidden/>
    <w:unhideWhenUsed/>
    <w:rsid w:val="000454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54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5583119">
      <w:bodyDiv w:val="1"/>
      <w:marLeft w:val="0"/>
      <w:marRight w:val="0"/>
      <w:marTop w:val="0"/>
      <w:marBottom w:val="0"/>
      <w:divBdr>
        <w:top w:val="none" w:sz="0" w:space="0" w:color="auto"/>
        <w:left w:val="none" w:sz="0" w:space="0" w:color="auto"/>
        <w:bottom w:val="none" w:sz="0" w:space="0" w:color="auto"/>
        <w:right w:val="none" w:sz="0" w:space="0" w:color="auto"/>
      </w:divBdr>
      <w:divsChild>
        <w:div w:id="1925141389">
          <w:marLeft w:val="0"/>
          <w:marRight w:val="0"/>
          <w:marTop w:val="0"/>
          <w:marBottom w:val="0"/>
          <w:divBdr>
            <w:top w:val="none" w:sz="0" w:space="0" w:color="auto"/>
            <w:left w:val="none" w:sz="0" w:space="0" w:color="auto"/>
            <w:bottom w:val="none" w:sz="0" w:space="0" w:color="auto"/>
            <w:right w:val="none" w:sz="0" w:space="0" w:color="auto"/>
          </w:divBdr>
          <w:divsChild>
            <w:div w:id="854340569">
              <w:blockQuote w:val="1"/>
              <w:marLeft w:val="720"/>
              <w:marRight w:val="720"/>
              <w:marTop w:val="100"/>
              <w:marBottom w:val="100"/>
              <w:divBdr>
                <w:top w:val="none" w:sz="0" w:space="0" w:color="auto"/>
                <w:left w:val="none" w:sz="0" w:space="0" w:color="auto"/>
                <w:bottom w:val="none" w:sz="0" w:space="0" w:color="auto"/>
                <w:right w:val="none" w:sz="0" w:space="0" w:color="auto"/>
              </w:divBdr>
            </w:div>
            <w:div w:id="756907733">
              <w:marLeft w:val="0"/>
              <w:marRight w:val="0"/>
              <w:marTop w:val="0"/>
              <w:marBottom w:val="0"/>
              <w:divBdr>
                <w:top w:val="none" w:sz="0" w:space="0" w:color="auto"/>
                <w:left w:val="none" w:sz="0" w:space="0" w:color="auto"/>
                <w:bottom w:val="none" w:sz="0" w:space="0" w:color="auto"/>
                <w:right w:val="none" w:sz="0" w:space="0" w:color="auto"/>
              </w:divBdr>
            </w:div>
            <w:div w:id="1693914507">
              <w:marLeft w:val="0"/>
              <w:marRight w:val="0"/>
              <w:marTop w:val="0"/>
              <w:marBottom w:val="0"/>
              <w:divBdr>
                <w:top w:val="none" w:sz="0" w:space="0" w:color="auto"/>
                <w:left w:val="none" w:sz="0" w:space="0" w:color="auto"/>
                <w:bottom w:val="none" w:sz="0" w:space="0" w:color="auto"/>
                <w:right w:val="none" w:sz="0" w:space="0" w:color="auto"/>
              </w:divBdr>
            </w:div>
            <w:div w:id="168302919">
              <w:marLeft w:val="0"/>
              <w:marRight w:val="0"/>
              <w:marTop w:val="0"/>
              <w:marBottom w:val="0"/>
              <w:divBdr>
                <w:top w:val="none" w:sz="0" w:space="0" w:color="auto"/>
                <w:left w:val="none" w:sz="0" w:space="0" w:color="auto"/>
                <w:bottom w:val="none" w:sz="0" w:space="0" w:color="auto"/>
                <w:right w:val="none" w:sz="0" w:space="0" w:color="auto"/>
              </w:divBdr>
            </w:div>
            <w:div w:id="768427396">
              <w:marLeft w:val="0"/>
              <w:marRight w:val="0"/>
              <w:marTop w:val="0"/>
              <w:marBottom w:val="0"/>
              <w:divBdr>
                <w:top w:val="none" w:sz="0" w:space="0" w:color="auto"/>
                <w:left w:val="none" w:sz="0" w:space="0" w:color="auto"/>
                <w:bottom w:val="none" w:sz="0" w:space="0" w:color="auto"/>
                <w:right w:val="none" w:sz="0" w:space="0" w:color="auto"/>
              </w:divBdr>
            </w:div>
            <w:div w:id="647128798">
              <w:marLeft w:val="0"/>
              <w:marRight w:val="0"/>
              <w:marTop w:val="0"/>
              <w:marBottom w:val="0"/>
              <w:divBdr>
                <w:top w:val="none" w:sz="0" w:space="0" w:color="auto"/>
                <w:left w:val="none" w:sz="0" w:space="0" w:color="auto"/>
                <w:bottom w:val="none" w:sz="0" w:space="0" w:color="auto"/>
                <w:right w:val="none" w:sz="0" w:space="0" w:color="auto"/>
              </w:divBdr>
              <w:divsChild>
                <w:div w:id="4090797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3855</Words>
  <Characters>21975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2019-08-13T01:10:00Z</dcterms:created>
  <dcterms:modified xsi:type="dcterms:W3CDTF">2019-08-13T01:24:00Z</dcterms:modified>
</cp:coreProperties>
</file>