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A7FF1" w:rsidRDefault="006A7FF1" w:rsidP="006A7FF1">
      <w:r>
        <w:rPr>
          <w:rFonts w:ascii="Verdana" w:hAnsi="Verdana"/>
          <w:color w:val="000000"/>
        </w:rPr>
        <w:t>506 Phil. 591 </w:t>
      </w:r>
      <w:r>
        <w:rPr>
          <w:rFonts w:ascii="Verdana" w:hAnsi="Verdana"/>
          <w:color w:val="000000"/>
        </w:rPr>
        <w:br/>
      </w:r>
      <w:r>
        <w:rPr>
          <w:rFonts w:ascii="Verdana" w:hAnsi="Verdana"/>
          <w:color w:val="000000"/>
        </w:rPr>
        <w:br/>
      </w:r>
    </w:p>
    <w:p w:rsidR="006A7FF1" w:rsidRDefault="006A7FF1" w:rsidP="006A7FF1">
      <w:pPr>
        <w:pStyle w:val="Heading2"/>
        <w:jc w:val="center"/>
        <w:rPr>
          <w:rFonts w:ascii="Verdana" w:hAnsi="Verdana"/>
          <w:color w:val="000000"/>
        </w:rPr>
      </w:pPr>
      <w:r>
        <w:rPr>
          <w:rFonts w:ascii="Verdana" w:hAnsi="Verdana"/>
          <w:color w:val="000000"/>
        </w:rPr>
        <w:t>FIRST DIVISION</w:t>
      </w:r>
    </w:p>
    <w:p w:rsidR="006A7FF1" w:rsidRDefault="006A7FF1" w:rsidP="006A7FF1">
      <w:pPr>
        <w:pStyle w:val="Heading2"/>
        <w:shd w:val="clear" w:color="auto" w:fill="CCCCCC"/>
        <w:jc w:val="center"/>
        <w:rPr>
          <w:rFonts w:ascii="Verdana" w:hAnsi="Verdana"/>
          <w:color w:val="000000"/>
        </w:rPr>
      </w:pPr>
      <w:proofErr w:type="gramStart"/>
      <w:r>
        <w:rPr>
          <w:rFonts w:ascii="Verdana" w:hAnsi="Verdana"/>
          <w:color w:val="000000"/>
        </w:rPr>
        <w:t>[ G.R</w:t>
      </w:r>
      <w:proofErr w:type="gramEnd"/>
      <w:r>
        <w:rPr>
          <w:rFonts w:ascii="Verdana" w:hAnsi="Verdana"/>
          <w:color w:val="000000"/>
        </w:rPr>
        <w:t>. NO. 154363, September 13, 2005 ]</w:t>
      </w:r>
    </w:p>
    <w:p w:rsidR="006A7FF1" w:rsidRDefault="006A7FF1" w:rsidP="006A7FF1">
      <w:pPr>
        <w:pStyle w:val="Heading3"/>
        <w:jc w:val="center"/>
        <w:rPr>
          <w:rFonts w:ascii="Verdana" w:hAnsi="Verdana"/>
          <w:color w:val="000000"/>
        </w:rPr>
      </w:pPr>
      <w:r>
        <w:rPr>
          <w:rFonts w:ascii="Verdana" w:hAnsi="Verdana"/>
          <w:color w:val="000000"/>
        </w:rPr>
        <w:t xml:space="preserve">JOEL P. LIBUIT, PETITIONER, VS. </w:t>
      </w:r>
      <w:proofErr w:type="gramStart"/>
      <w:r>
        <w:rPr>
          <w:rFonts w:ascii="Verdana" w:hAnsi="Verdana"/>
          <w:color w:val="000000"/>
        </w:rPr>
        <w:t>PEOPLE OF THE PHILIPPINES, RESPONDENT.</w:t>
      </w:r>
      <w:proofErr w:type="gramEnd"/>
      <w:r>
        <w:rPr>
          <w:rFonts w:ascii="Verdana" w:hAnsi="Verdana"/>
          <w:color w:val="000000"/>
        </w:rPr>
        <w:t> </w:t>
      </w:r>
      <w:r>
        <w:rPr>
          <w:rFonts w:ascii="Verdana" w:hAnsi="Verdana"/>
          <w:color w:val="000000"/>
        </w:rPr>
        <w:br/>
      </w:r>
      <w:r>
        <w:rPr>
          <w:rFonts w:ascii="Verdana" w:hAnsi="Verdana"/>
          <w:color w:val="000000"/>
        </w:rPr>
        <w:br/>
        <w:t>D E C I S I O N</w:t>
      </w:r>
    </w:p>
    <w:p w:rsidR="006A7FF1" w:rsidRDefault="006A7FF1" w:rsidP="006A7FF1">
      <w:pPr>
        <w:pStyle w:val="NormalWeb"/>
        <w:rPr>
          <w:rFonts w:ascii="Verdana" w:hAnsi="Verdana"/>
          <w:color w:val="000000"/>
          <w:sz w:val="22"/>
          <w:szCs w:val="22"/>
        </w:rPr>
      </w:pPr>
      <w:r>
        <w:rPr>
          <w:rStyle w:val="Strong"/>
          <w:rFonts w:ascii="Verdana" w:hAnsi="Verdana"/>
          <w:color w:val="000000"/>
          <w:sz w:val="22"/>
          <w:szCs w:val="22"/>
        </w:rPr>
        <w:t>QUISUMBING, J.</w:t>
      </w:r>
    </w:p>
    <w:p w:rsidR="006A7FF1" w:rsidRDefault="006A7FF1" w:rsidP="006A7FF1">
      <w:pPr>
        <w:rPr>
          <w:rFonts w:ascii="Verdana" w:hAnsi="Verdana"/>
          <w:color w:val="000000"/>
        </w:rPr>
      </w:pPr>
      <w:r>
        <w:rPr>
          <w:rFonts w:ascii="Verdana" w:hAnsi="Verdana"/>
          <w:color w:val="000000"/>
        </w:rPr>
        <w:t xml:space="preserve">Before us is the petition for review on certiorari filed by Joel P. </w:t>
      </w:r>
      <w:proofErr w:type="spellStart"/>
      <w:r>
        <w:rPr>
          <w:rFonts w:ascii="Verdana" w:hAnsi="Verdana"/>
          <w:color w:val="000000"/>
        </w:rPr>
        <w:t>Libuit</w:t>
      </w:r>
      <w:proofErr w:type="spellEnd"/>
      <w:r>
        <w:rPr>
          <w:rFonts w:ascii="Verdana" w:hAnsi="Verdana"/>
          <w:color w:val="000000"/>
        </w:rPr>
        <w:t>, seeking to reverse and set aside the </w:t>
      </w:r>
      <w:r>
        <w:rPr>
          <w:rFonts w:ascii="Verdana" w:hAnsi="Verdana"/>
          <w:b/>
          <w:bCs/>
          <w:color w:val="000000"/>
        </w:rPr>
        <w:t>Decision</w:t>
      </w:r>
      <w:r>
        <w:rPr>
          <w:rFonts w:ascii="Verdana" w:hAnsi="Verdana"/>
          <w:color w:val="FF0000"/>
          <w:vertAlign w:val="superscript"/>
        </w:rPr>
        <w:t>[1]</w:t>
      </w:r>
      <w:r>
        <w:rPr>
          <w:rFonts w:ascii="Verdana" w:hAnsi="Verdana"/>
          <w:color w:val="000000"/>
        </w:rPr>
        <w:t xml:space="preserve">dated March 11, 2002, of the Court of Appeals in CA-G.R. CR No. 22766.  The assailed decision affirmed the petitioner's conviction by the Regional Trial Court of </w:t>
      </w:r>
      <w:proofErr w:type="spellStart"/>
      <w:r>
        <w:rPr>
          <w:rFonts w:ascii="Verdana" w:hAnsi="Verdana"/>
          <w:color w:val="000000"/>
        </w:rPr>
        <w:t>Lipa</w:t>
      </w:r>
      <w:proofErr w:type="spellEnd"/>
      <w:r>
        <w:rPr>
          <w:rFonts w:ascii="Verdana" w:hAnsi="Verdana"/>
          <w:color w:val="000000"/>
        </w:rPr>
        <w:t xml:space="preserve"> City, Branch 85, for </w:t>
      </w:r>
      <w:proofErr w:type="spellStart"/>
      <w:r>
        <w:rPr>
          <w:rFonts w:ascii="Verdana" w:hAnsi="Verdana"/>
          <w:color w:val="000000"/>
        </w:rPr>
        <w:t>estafa</w:t>
      </w:r>
      <w:proofErr w:type="spellEnd"/>
      <w:r>
        <w:rPr>
          <w:rFonts w:ascii="Verdana" w:hAnsi="Verdana"/>
          <w:color w:val="000000"/>
        </w:rPr>
        <w:t xml:space="preserve"> as defined and penalized under Article 315 1(b) of the Revised Penal Code.</w:t>
      </w:r>
      <w:r>
        <w:rPr>
          <w:rFonts w:ascii="Verdana" w:hAnsi="Verdana"/>
          <w:color w:val="FF0000"/>
          <w:vertAlign w:val="superscript"/>
        </w:rPr>
        <w:t>[2]</w:t>
      </w:r>
      <w:r>
        <w:rPr>
          <w:rFonts w:ascii="Verdana" w:hAnsi="Verdana"/>
          <w:color w:val="000000"/>
        </w:rPr>
        <w:br/>
      </w:r>
      <w:r>
        <w:rPr>
          <w:rFonts w:ascii="Verdana" w:hAnsi="Verdana"/>
          <w:color w:val="000000"/>
        </w:rPr>
        <w:br/>
        <w:t>The Amended Information filed against the petitioner reads as follows:</w:t>
      </w:r>
    </w:p>
    <w:p w:rsidR="006A7FF1" w:rsidRDefault="006A7FF1" w:rsidP="006A7FF1">
      <w:pPr>
        <w:rPr>
          <w:rFonts w:ascii="Verdana" w:hAnsi="Verdana"/>
          <w:color w:val="000000"/>
        </w:rPr>
      </w:pPr>
      <w:r w:rsidRPr="00AD1868">
        <w:rPr>
          <w:rFonts w:asciiTheme="majorHAnsi" w:hAnsiTheme="majorHAnsi"/>
          <w:color w:val="000000"/>
        </w:rPr>
        <w:t xml:space="preserve">That during the period from May 1993 to August 31, 1994, at </w:t>
      </w:r>
      <w:proofErr w:type="spellStart"/>
      <w:r w:rsidRPr="00AD1868">
        <w:rPr>
          <w:rFonts w:asciiTheme="majorHAnsi" w:hAnsiTheme="majorHAnsi"/>
          <w:color w:val="000000"/>
        </w:rPr>
        <w:t>Lipa</w:t>
      </w:r>
      <w:proofErr w:type="spellEnd"/>
      <w:r w:rsidRPr="00AD1868">
        <w:rPr>
          <w:rFonts w:asciiTheme="majorHAnsi" w:hAnsiTheme="majorHAnsi"/>
          <w:color w:val="000000"/>
        </w:rPr>
        <w:t xml:space="preserve"> City, Philippines and within the jurisdiction of this </w:t>
      </w:r>
      <w:proofErr w:type="spellStart"/>
      <w:r w:rsidRPr="00AD1868">
        <w:rPr>
          <w:rFonts w:asciiTheme="majorHAnsi" w:hAnsiTheme="majorHAnsi"/>
          <w:color w:val="000000"/>
        </w:rPr>
        <w:t>Honorable</w:t>
      </w:r>
      <w:proofErr w:type="spellEnd"/>
      <w:r w:rsidRPr="00AD1868">
        <w:rPr>
          <w:rFonts w:asciiTheme="majorHAnsi" w:hAnsiTheme="majorHAnsi"/>
          <w:color w:val="000000"/>
        </w:rPr>
        <w:t xml:space="preserve"> Court, the above-named accused wilfully, unlawfully and feloniously committed the crime of </w:t>
      </w:r>
      <w:proofErr w:type="spellStart"/>
      <w:r w:rsidRPr="00AD1868">
        <w:rPr>
          <w:rFonts w:asciiTheme="majorHAnsi" w:hAnsiTheme="majorHAnsi"/>
          <w:color w:val="000000"/>
        </w:rPr>
        <w:t>estafa</w:t>
      </w:r>
      <w:proofErr w:type="spellEnd"/>
      <w:r w:rsidRPr="00AD1868">
        <w:rPr>
          <w:rFonts w:asciiTheme="majorHAnsi" w:hAnsiTheme="majorHAnsi"/>
          <w:color w:val="000000"/>
        </w:rPr>
        <w:t xml:space="preserve"> in the manner, to wit: sometime in May 1993, Domingo del </w:t>
      </w:r>
      <w:proofErr w:type="spellStart"/>
      <w:r w:rsidRPr="00AD1868">
        <w:rPr>
          <w:rFonts w:asciiTheme="majorHAnsi" w:hAnsiTheme="majorHAnsi"/>
          <w:color w:val="000000"/>
        </w:rPr>
        <w:t>Mundo</w:t>
      </w:r>
      <w:proofErr w:type="spellEnd"/>
      <w:r w:rsidRPr="00AD1868">
        <w:rPr>
          <w:rFonts w:asciiTheme="majorHAnsi" w:hAnsiTheme="majorHAnsi"/>
          <w:color w:val="000000"/>
        </w:rPr>
        <w:t xml:space="preserve"> delivered and brought his car, described as follows: Make &amp; Type – Chevy 2dr. HT: Plate No. EDD-725, Motor No. 18R-9597750, Chassis No. 1Y17H4W151340 valued at P60</w:t>
      </w:r>
      <w:proofErr w:type="gramStart"/>
      <w:r w:rsidRPr="00AD1868">
        <w:rPr>
          <w:rFonts w:asciiTheme="majorHAnsi" w:hAnsiTheme="majorHAnsi"/>
          <w:color w:val="000000"/>
        </w:rPr>
        <w:t>,000.00</w:t>
      </w:r>
      <w:proofErr w:type="gramEnd"/>
      <w:r w:rsidRPr="00AD1868">
        <w:rPr>
          <w:rFonts w:asciiTheme="majorHAnsi" w:hAnsiTheme="majorHAnsi"/>
          <w:color w:val="000000"/>
        </w:rPr>
        <w:t xml:space="preserve">, to the motor shop located at </w:t>
      </w:r>
      <w:proofErr w:type="spellStart"/>
      <w:r w:rsidRPr="00AD1868">
        <w:rPr>
          <w:rFonts w:asciiTheme="majorHAnsi" w:hAnsiTheme="majorHAnsi"/>
          <w:color w:val="000000"/>
        </w:rPr>
        <w:t>Brgy</w:t>
      </w:r>
      <w:proofErr w:type="spellEnd"/>
      <w:r w:rsidRPr="00AD1868">
        <w:rPr>
          <w:rFonts w:asciiTheme="majorHAnsi" w:hAnsiTheme="majorHAnsi"/>
          <w:color w:val="000000"/>
        </w:rPr>
        <w:t xml:space="preserve">. </w:t>
      </w:r>
      <w:proofErr w:type="spellStart"/>
      <w:r w:rsidRPr="00AD1868">
        <w:rPr>
          <w:rFonts w:asciiTheme="majorHAnsi" w:hAnsiTheme="majorHAnsi"/>
          <w:color w:val="000000"/>
        </w:rPr>
        <w:t>Sico</w:t>
      </w:r>
      <w:proofErr w:type="spellEnd"/>
      <w:r w:rsidRPr="00AD1868">
        <w:rPr>
          <w:rFonts w:asciiTheme="majorHAnsi" w:hAnsiTheme="majorHAnsi"/>
          <w:color w:val="000000"/>
        </w:rPr>
        <w:t xml:space="preserve">, </w:t>
      </w:r>
      <w:proofErr w:type="spellStart"/>
      <w:r w:rsidRPr="00AD1868">
        <w:rPr>
          <w:rFonts w:asciiTheme="majorHAnsi" w:hAnsiTheme="majorHAnsi"/>
          <w:color w:val="000000"/>
        </w:rPr>
        <w:t>Lipa</w:t>
      </w:r>
      <w:proofErr w:type="spellEnd"/>
      <w:r w:rsidRPr="00AD1868">
        <w:rPr>
          <w:rFonts w:asciiTheme="majorHAnsi" w:hAnsiTheme="majorHAnsi"/>
          <w:color w:val="000000"/>
        </w:rPr>
        <w:t xml:space="preserve"> City, and owned and/or operated by Joel </w:t>
      </w:r>
      <w:proofErr w:type="spellStart"/>
      <w:r w:rsidRPr="00AD1868">
        <w:rPr>
          <w:rFonts w:asciiTheme="majorHAnsi" w:hAnsiTheme="majorHAnsi"/>
          <w:color w:val="000000"/>
        </w:rPr>
        <w:t>Libuit</w:t>
      </w:r>
      <w:proofErr w:type="spellEnd"/>
      <w:r w:rsidRPr="00AD1868">
        <w:rPr>
          <w:rFonts w:asciiTheme="majorHAnsi" w:hAnsiTheme="majorHAnsi"/>
          <w:color w:val="000000"/>
        </w:rPr>
        <w:t xml:space="preserve"> and Julius </w:t>
      </w:r>
      <w:proofErr w:type="spellStart"/>
      <w:r w:rsidRPr="00AD1868">
        <w:rPr>
          <w:rFonts w:asciiTheme="majorHAnsi" w:hAnsiTheme="majorHAnsi"/>
          <w:color w:val="000000"/>
        </w:rPr>
        <w:t>Libuit</w:t>
      </w:r>
      <w:proofErr w:type="spellEnd"/>
      <w:r w:rsidRPr="00AD1868">
        <w:rPr>
          <w:rFonts w:asciiTheme="majorHAnsi" w:hAnsiTheme="majorHAnsi"/>
          <w:color w:val="000000"/>
        </w:rPr>
        <w:t xml:space="preserve"> for repair of its damaged parts, which car was received by Jose Bautista, then mechanic in the said motor shop, but accused Joel </w:t>
      </w:r>
      <w:proofErr w:type="spellStart"/>
      <w:r w:rsidRPr="00AD1868">
        <w:rPr>
          <w:rFonts w:asciiTheme="majorHAnsi" w:hAnsiTheme="majorHAnsi"/>
          <w:color w:val="000000"/>
        </w:rPr>
        <w:t>Libuit</w:t>
      </w:r>
      <w:proofErr w:type="spellEnd"/>
      <w:r w:rsidRPr="00AD1868">
        <w:rPr>
          <w:rFonts w:asciiTheme="majorHAnsi" w:hAnsiTheme="majorHAnsi"/>
          <w:color w:val="000000"/>
        </w:rPr>
        <w:t xml:space="preserve">, once in possession of the said car, and far from complying with his </w:t>
      </w:r>
      <w:proofErr w:type="spellStart"/>
      <w:r w:rsidRPr="00AD1868">
        <w:rPr>
          <w:rFonts w:asciiTheme="majorHAnsi" w:hAnsiTheme="majorHAnsi"/>
          <w:color w:val="000000"/>
        </w:rPr>
        <w:t>obl</w:t>
      </w:r>
      <w:proofErr w:type="spellEnd"/>
      <w:r w:rsidRPr="00AD1868">
        <w:rPr>
          <w:rFonts w:asciiTheme="majorHAnsi" w:hAnsiTheme="majorHAnsi"/>
          <w:color w:val="000000"/>
        </w:rPr>
        <w:t>[i]</w:t>
      </w:r>
      <w:proofErr w:type="spellStart"/>
      <w:r w:rsidRPr="00AD1868">
        <w:rPr>
          <w:rFonts w:asciiTheme="majorHAnsi" w:hAnsiTheme="majorHAnsi"/>
          <w:color w:val="000000"/>
        </w:rPr>
        <w:t>gation</w:t>
      </w:r>
      <w:proofErr w:type="spellEnd"/>
      <w:r w:rsidRPr="00AD1868">
        <w:rPr>
          <w:rFonts w:asciiTheme="majorHAnsi" w:hAnsiTheme="majorHAnsi"/>
          <w:color w:val="000000"/>
        </w:rPr>
        <w:t xml:space="preserve"> or duty to make the appropriate repairs and to return or deliver the said car as properly repaired to Domingo del </w:t>
      </w:r>
      <w:proofErr w:type="spellStart"/>
      <w:r w:rsidRPr="00AD1868">
        <w:rPr>
          <w:rFonts w:asciiTheme="majorHAnsi" w:hAnsiTheme="majorHAnsi"/>
          <w:color w:val="000000"/>
        </w:rPr>
        <w:t>Mundo</w:t>
      </w:r>
      <w:proofErr w:type="spellEnd"/>
      <w:r w:rsidRPr="00AD1868">
        <w:rPr>
          <w:rFonts w:asciiTheme="majorHAnsi" w:hAnsiTheme="majorHAnsi"/>
          <w:color w:val="000000"/>
        </w:rPr>
        <w:t>, with intent to defraud and with abuse of confidence, wilfully, unlawfully and feloniously misappropriated, converted and/or misapplied the said car to his own personal use and benefit </w:t>
      </w:r>
      <w:r w:rsidRPr="00AD1868">
        <w:rPr>
          <w:rFonts w:asciiTheme="majorHAnsi" w:hAnsiTheme="majorHAnsi"/>
          <w:color w:val="000000"/>
          <w:u w:val="single"/>
        </w:rPr>
        <w:t>and despite repeated demands to return the said car to the owner thereof, accused refused and failed to do so</w:t>
      </w:r>
      <w:r w:rsidRPr="00AD1868">
        <w:rPr>
          <w:rFonts w:asciiTheme="majorHAnsi" w:hAnsiTheme="majorHAnsi"/>
          <w:color w:val="000000"/>
        </w:rPr>
        <w:t xml:space="preserve">, to the damage and prejudice of Domingo del </w:t>
      </w:r>
      <w:proofErr w:type="spellStart"/>
      <w:r w:rsidRPr="00AD1868">
        <w:rPr>
          <w:rFonts w:asciiTheme="majorHAnsi" w:hAnsiTheme="majorHAnsi"/>
          <w:color w:val="000000"/>
        </w:rPr>
        <w:t>Mundo</w:t>
      </w:r>
      <w:proofErr w:type="spellEnd"/>
      <w:r w:rsidRPr="00AD1868">
        <w:rPr>
          <w:rFonts w:asciiTheme="majorHAnsi" w:hAnsiTheme="majorHAnsi"/>
          <w:color w:val="000000"/>
        </w:rPr>
        <w:t>, owner of the said car, in the amount of P60,000.00, Philippine Currency.</w:t>
      </w:r>
      <w:r w:rsidRPr="00AD1868">
        <w:rPr>
          <w:rFonts w:asciiTheme="majorHAnsi" w:hAnsiTheme="majorHAnsi"/>
          <w:color w:val="000000"/>
        </w:rPr>
        <w:br/>
      </w:r>
      <w:r w:rsidRPr="00AD1868">
        <w:rPr>
          <w:rFonts w:asciiTheme="majorHAnsi" w:hAnsiTheme="majorHAnsi"/>
          <w:color w:val="000000"/>
        </w:rPr>
        <w:br/>
        <w:t>Contrary to law</w:t>
      </w:r>
      <w:proofErr w:type="gramStart"/>
      <w:r w:rsidRPr="00AD1868">
        <w:rPr>
          <w:rFonts w:asciiTheme="majorHAnsi" w:hAnsiTheme="majorHAnsi"/>
          <w:color w:val="000000"/>
        </w:rPr>
        <w:t>.</w:t>
      </w:r>
      <w:r>
        <w:rPr>
          <w:rFonts w:ascii="Verdana" w:hAnsi="Verdana"/>
          <w:color w:val="FF0000"/>
          <w:vertAlign w:val="superscript"/>
        </w:rPr>
        <w:t>[</w:t>
      </w:r>
      <w:proofErr w:type="gramEnd"/>
      <w:r>
        <w:rPr>
          <w:rFonts w:ascii="Verdana" w:hAnsi="Verdana"/>
          <w:color w:val="FF0000"/>
          <w:vertAlign w:val="superscript"/>
        </w:rPr>
        <w:t>3]</w:t>
      </w:r>
    </w:p>
    <w:p w:rsidR="006A7FF1" w:rsidRDefault="006A7FF1" w:rsidP="006A7FF1">
      <w:pPr>
        <w:rPr>
          <w:rFonts w:ascii="Verdana" w:hAnsi="Verdana"/>
          <w:color w:val="000000"/>
        </w:rPr>
      </w:pPr>
      <w:r>
        <w:rPr>
          <w:rFonts w:ascii="Verdana" w:hAnsi="Verdana"/>
          <w:color w:val="000000"/>
        </w:rPr>
        <w:t>On arraignment, the petitioner, assisted by counsel, pleaded not guilty.</w:t>
      </w:r>
      <w:r>
        <w:rPr>
          <w:rFonts w:ascii="Verdana" w:hAnsi="Verdana"/>
          <w:color w:val="000000"/>
        </w:rPr>
        <w:br/>
      </w:r>
      <w:r>
        <w:rPr>
          <w:rFonts w:ascii="Verdana" w:hAnsi="Verdana"/>
          <w:color w:val="000000"/>
        </w:rPr>
        <w:br/>
        <w:t xml:space="preserve">It appears from the prosecution evidence that sometime in May 1993, the </w:t>
      </w:r>
      <w:r>
        <w:rPr>
          <w:rFonts w:ascii="Verdana" w:hAnsi="Verdana"/>
          <w:color w:val="000000"/>
        </w:rPr>
        <w:lastRenderedPageBreak/>
        <w:t xml:space="preserve">private complainant, Domingo </w:t>
      </w:r>
      <w:proofErr w:type="gramStart"/>
      <w:r>
        <w:rPr>
          <w:rFonts w:ascii="Verdana" w:hAnsi="Verdana"/>
          <w:color w:val="000000"/>
        </w:rPr>
        <w:t>del</w:t>
      </w:r>
      <w:proofErr w:type="gramEnd"/>
      <w:r>
        <w:rPr>
          <w:rFonts w:ascii="Verdana" w:hAnsi="Verdana"/>
          <w:color w:val="000000"/>
        </w:rPr>
        <w:t xml:space="preserve"> </w:t>
      </w:r>
      <w:proofErr w:type="spellStart"/>
      <w:r>
        <w:rPr>
          <w:rFonts w:ascii="Verdana" w:hAnsi="Verdana"/>
          <w:color w:val="000000"/>
        </w:rPr>
        <w:t>Mundo</w:t>
      </w:r>
      <w:proofErr w:type="spellEnd"/>
      <w:r>
        <w:rPr>
          <w:rFonts w:ascii="Verdana" w:hAnsi="Verdana"/>
          <w:color w:val="000000"/>
        </w:rPr>
        <w:t xml:space="preserve">, brought his car for repair at the </w:t>
      </w:r>
      <w:proofErr w:type="spellStart"/>
      <w:r>
        <w:rPr>
          <w:rFonts w:ascii="Verdana" w:hAnsi="Verdana"/>
          <w:color w:val="000000"/>
        </w:rPr>
        <w:t>Paeng</w:t>
      </w:r>
      <w:proofErr w:type="spellEnd"/>
      <w:r>
        <w:rPr>
          <w:rFonts w:ascii="Verdana" w:hAnsi="Verdana"/>
          <w:color w:val="000000"/>
        </w:rPr>
        <w:t xml:space="preserve"> </w:t>
      </w:r>
      <w:proofErr w:type="spellStart"/>
      <w:r>
        <w:rPr>
          <w:rFonts w:ascii="Verdana" w:hAnsi="Verdana"/>
          <w:color w:val="000000"/>
        </w:rPr>
        <w:t>Motorworks</w:t>
      </w:r>
      <w:proofErr w:type="spellEnd"/>
      <w:r>
        <w:rPr>
          <w:rFonts w:ascii="Verdana" w:hAnsi="Verdana"/>
          <w:color w:val="000000"/>
        </w:rPr>
        <w:t xml:space="preserve"> operated by the petitioner.  The car was received by Jose Bautista, a mechanic, in the presence of the petitioner who assured the private complainant that it would be safe in his motor shop.</w:t>
      </w:r>
      <w:r>
        <w:rPr>
          <w:rFonts w:ascii="Verdana" w:hAnsi="Verdana"/>
          <w:color w:val="000000"/>
        </w:rPr>
        <w:br/>
      </w:r>
      <w:r>
        <w:rPr>
          <w:rFonts w:ascii="Verdana" w:hAnsi="Verdana"/>
          <w:color w:val="000000"/>
        </w:rPr>
        <w:br/>
        <w:t xml:space="preserve">When private complainant </w:t>
      </w:r>
      <w:proofErr w:type="gramStart"/>
      <w:r>
        <w:rPr>
          <w:rFonts w:ascii="Verdana" w:hAnsi="Verdana"/>
          <w:color w:val="000000"/>
        </w:rPr>
        <w:t>del</w:t>
      </w:r>
      <w:proofErr w:type="gramEnd"/>
      <w:r>
        <w:rPr>
          <w:rFonts w:ascii="Verdana" w:hAnsi="Verdana"/>
          <w:color w:val="000000"/>
        </w:rPr>
        <w:t xml:space="preserve"> </w:t>
      </w:r>
      <w:proofErr w:type="spellStart"/>
      <w:r>
        <w:rPr>
          <w:rFonts w:ascii="Verdana" w:hAnsi="Verdana"/>
          <w:color w:val="000000"/>
        </w:rPr>
        <w:t>Mundo</w:t>
      </w:r>
      <w:proofErr w:type="spellEnd"/>
      <w:r>
        <w:rPr>
          <w:rFonts w:ascii="Verdana" w:hAnsi="Verdana"/>
          <w:color w:val="000000"/>
        </w:rPr>
        <w:t xml:space="preserve"> returned to the motor shop in January 1994, he saw his car by the roadside while the engine was inside the shop.  Bautista explained that the engine was pulled out because it also needed repairs.  Nevertheless, the petitioner and Bautista assured him that they would finish the repair work and deliver the car to </w:t>
      </w:r>
      <w:proofErr w:type="gramStart"/>
      <w:r>
        <w:rPr>
          <w:rFonts w:ascii="Verdana" w:hAnsi="Verdana"/>
          <w:color w:val="000000"/>
        </w:rPr>
        <w:t>del</w:t>
      </w:r>
      <w:proofErr w:type="gramEnd"/>
      <w:r>
        <w:rPr>
          <w:rFonts w:ascii="Verdana" w:hAnsi="Verdana"/>
          <w:color w:val="000000"/>
        </w:rPr>
        <w:t xml:space="preserve"> </w:t>
      </w:r>
      <w:proofErr w:type="spellStart"/>
      <w:r>
        <w:rPr>
          <w:rFonts w:ascii="Verdana" w:hAnsi="Verdana"/>
          <w:color w:val="000000"/>
        </w:rPr>
        <w:t>Mundo's</w:t>
      </w:r>
      <w:proofErr w:type="spellEnd"/>
      <w:r>
        <w:rPr>
          <w:rFonts w:ascii="Verdana" w:hAnsi="Verdana"/>
          <w:color w:val="000000"/>
        </w:rPr>
        <w:t xml:space="preserve"> house after two weeks.  However, the petitioner failed to deliver the car to the owner.  Private complainant gave him another two weeks to finish the repairs.  Thereafter, the private complainant returned to the motor shop and found that his car was already missing.  He reported the matter to the police, who discovered that the petitioner had sold the car's differential and cylinder head, while the engine could no longer be found.</w:t>
      </w:r>
      <w:r>
        <w:rPr>
          <w:rFonts w:ascii="Verdana" w:hAnsi="Verdana"/>
          <w:color w:val="000000"/>
        </w:rPr>
        <w:br/>
      </w:r>
      <w:r>
        <w:rPr>
          <w:rFonts w:ascii="Verdana" w:hAnsi="Verdana"/>
          <w:color w:val="000000"/>
        </w:rPr>
        <w:br/>
        <w:t>The petitioner (</w:t>
      </w:r>
      <w:proofErr w:type="spellStart"/>
      <w:r>
        <w:rPr>
          <w:rFonts w:ascii="Verdana" w:hAnsi="Verdana"/>
          <w:color w:val="000000"/>
        </w:rPr>
        <w:t>Libuit</w:t>
      </w:r>
      <w:proofErr w:type="spellEnd"/>
      <w:r>
        <w:rPr>
          <w:rFonts w:ascii="Verdana" w:hAnsi="Verdana"/>
          <w:color w:val="000000"/>
        </w:rPr>
        <w:t xml:space="preserve">) testified on direct examination.  However, his </w:t>
      </w:r>
      <w:proofErr w:type="spellStart"/>
      <w:r>
        <w:rPr>
          <w:rFonts w:ascii="Verdana" w:hAnsi="Verdana"/>
          <w:color w:val="000000"/>
        </w:rPr>
        <w:t>defense</w:t>
      </w:r>
      <w:proofErr w:type="spellEnd"/>
      <w:r>
        <w:rPr>
          <w:rFonts w:ascii="Verdana" w:hAnsi="Verdana"/>
          <w:color w:val="000000"/>
        </w:rPr>
        <w:t xml:space="preserve"> counsel, Atty. Glenn P. Mendoza of De Jesus </w:t>
      </w:r>
      <w:proofErr w:type="spellStart"/>
      <w:r>
        <w:rPr>
          <w:rFonts w:ascii="Verdana" w:hAnsi="Verdana"/>
          <w:color w:val="000000"/>
        </w:rPr>
        <w:t>Linatoc</w:t>
      </w:r>
      <w:proofErr w:type="spellEnd"/>
      <w:r>
        <w:rPr>
          <w:rFonts w:ascii="Verdana" w:hAnsi="Verdana"/>
          <w:color w:val="000000"/>
        </w:rPr>
        <w:t xml:space="preserve"> and Associates, withdrew from the case after his initial cross-examination</w:t>
      </w:r>
      <w:proofErr w:type="gramStart"/>
      <w:r>
        <w:rPr>
          <w:rFonts w:ascii="Verdana" w:hAnsi="Verdana"/>
          <w:color w:val="000000"/>
        </w:rPr>
        <w:t>.</w:t>
      </w:r>
      <w:r>
        <w:rPr>
          <w:rFonts w:ascii="Verdana" w:hAnsi="Verdana"/>
          <w:color w:val="FF0000"/>
          <w:vertAlign w:val="superscript"/>
        </w:rPr>
        <w:t>[</w:t>
      </w:r>
      <w:proofErr w:type="gramEnd"/>
      <w:r>
        <w:rPr>
          <w:rFonts w:ascii="Verdana" w:hAnsi="Verdana"/>
          <w:color w:val="FF0000"/>
          <w:vertAlign w:val="superscript"/>
        </w:rPr>
        <w:t>4]</w:t>
      </w:r>
      <w:r>
        <w:rPr>
          <w:rFonts w:ascii="Verdana" w:hAnsi="Verdana"/>
          <w:color w:val="000000"/>
        </w:rPr>
        <w:t> On motion of the petitioner, the continuation of his cross-examination was reset to give him time to engage the services of another counsel.</w:t>
      </w:r>
      <w:r>
        <w:rPr>
          <w:rFonts w:ascii="Verdana" w:hAnsi="Verdana"/>
          <w:color w:val="FF0000"/>
          <w:vertAlign w:val="superscript"/>
        </w:rPr>
        <w:t>[5]</w:t>
      </w:r>
      <w:r>
        <w:rPr>
          <w:rFonts w:ascii="Verdana" w:hAnsi="Verdana"/>
          <w:color w:val="000000"/>
        </w:rPr>
        <w:t xml:space="preserve"> The petitioner eventually secured the services of Atty. Jose </w:t>
      </w:r>
      <w:proofErr w:type="spellStart"/>
      <w:r>
        <w:rPr>
          <w:rFonts w:ascii="Verdana" w:hAnsi="Verdana"/>
          <w:color w:val="000000"/>
        </w:rPr>
        <w:t>Dimayuga</w:t>
      </w:r>
      <w:proofErr w:type="spellEnd"/>
      <w:r>
        <w:rPr>
          <w:rFonts w:ascii="Verdana" w:hAnsi="Verdana"/>
          <w:color w:val="000000"/>
        </w:rPr>
        <w:t>.</w:t>
      </w:r>
      <w:r>
        <w:rPr>
          <w:rFonts w:ascii="Verdana" w:hAnsi="Verdana"/>
          <w:color w:val="000000"/>
        </w:rPr>
        <w:br/>
      </w:r>
      <w:r>
        <w:rPr>
          <w:rFonts w:ascii="Verdana" w:hAnsi="Verdana"/>
          <w:color w:val="000000"/>
        </w:rPr>
        <w:br/>
        <w:t xml:space="preserve">At the subsequent hearings on October 13, 1997, and November 26, 1997, Atty. </w:t>
      </w:r>
      <w:proofErr w:type="spellStart"/>
      <w:r>
        <w:rPr>
          <w:rFonts w:ascii="Verdana" w:hAnsi="Verdana"/>
          <w:color w:val="000000"/>
        </w:rPr>
        <w:t>Dimayuga</w:t>
      </w:r>
      <w:proofErr w:type="spellEnd"/>
      <w:r>
        <w:rPr>
          <w:rFonts w:ascii="Verdana" w:hAnsi="Verdana"/>
          <w:color w:val="000000"/>
        </w:rPr>
        <w:t xml:space="preserve"> failed to appear despite notices.  On motion of the prosecution, the trial court issued an Order dated November 26, 1997,</w:t>
      </w:r>
      <w:r>
        <w:rPr>
          <w:rFonts w:ascii="Verdana" w:hAnsi="Verdana"/>
          <w:color w:val="FF0000"/>
          <w:vertAlign w:val="superscript"/>
        </w:rPr>
        <w:t>[6]</w:t>
      </w:r>
      <w:r>
        <w:rPr>
          <w:rFonts w:ascii="Verdana" w:hAnsi="Verdana"/>
          <w:color w:val="000000"/>
        </w:rPr>
        <w:t> striking from the records the petitioner's direct testimony and declaring the case submitted for decision on the basis of the evidence already on record.</w:t>
      </w:r>
      <w:r>
        <w:rPr>
          <w:rFonts w:ascii="Verdana" w:hAnsi="Verdana"/>
          <w:color w:val="000000"/>
        </w:rPr>
        <w:br/>
      </w:r>
      <w:r>
        <w:rPr>
          <w:rFonts w:ascii="Verdana" w:hAnsi="Verdana"/>
          <w:color w:val="000000"/>
        </w:rPr>
        <w:br/>
        <w:t xml:space="preserve">After further proceedings, the trial court rendered judgment on January 27, 1999, finding herein petitioner guilty beyond reasonable doubt of the crime of </w:t>
      </w:r>
      <w:proofErr w:type="spellStart"/>
      <w:r>
        <w:rPr>
          <w:rFonts w:ascii="Verdana" w:hAnsi="Verdana"/>
          <w:color w:val="000000"/>
        </w:rPr>
        <w:t>estafa</w:t>
      </w:r>
      <w:proofErr w:type="spellEnd"/>
      <w:r>
        <w:rPr>
          <w:rFonts w:ascii="Verdana" w:hAnsi="Verdana"/>
          <w:color w:val="000000"/>
        </w:rPr>
        <w:t>.  The dispositive portion of the RTC decision reads:</w:t>
      </w:r>
    </w:p>
    <w:p w:rsidR="006A7FF1" w:rsidRDefault="006A7FF1" w:rsidP="006A7FF1">
      <w:pPr>
        <w:rPr>
          <w:rFonts w:ascii="Verdana" w:hAnsi="Verdana"/>
          <w:color w:val="000000"/>
        </w:rPr>
      </w:pPr>
      <w:r w:rsidRPr="00AD1868">
        <w:rPr>
          <w:rFonts w:asciiTheme="majorHAnsi" w:hAnsiTheme="majorHAnsi"/>
          <w:color w:val="000000"/>
        </w:rPr>
        <w:t xml:space="preserve">WHEREFORE, the foregoing premises considered, judgment is hereby rendered finding the accused JOEL LIBUIT guilty beyond reasonable doubt of the crime of </w:t>
      </w:r>
      <w:proofErr w:type="spellStart"/>
      <w:r w:rsidRPr="00AD1868">
        <w:rPr>
          <w:rFonts w:asciiTheme="majorHAnsi" w:hAnsiTheme="majorHAnsi"/>
          <w:color w:val="000000"/>
        </w:rPr>
        <w:t>Estafa</w:t>
      </w:r>
      <w:proofErr w:type="spellEnd"/>
      <w:r w:rsidRPr="00AD1868">
        <w:rPr>
          <w:rFonts w:asciiTheme="majorHAnsi" w:hAnsiTheme="majorHAnsi"/>
          <w:color w:val="000000"/>
        </w:rPr>
        <w:t xml:space="preserve">, as the same is defined and penalized under Article 315 1(b) of the Revised Penal Code, and, with the application of the Indeterminate Sentence Law, the Court sentences him to suffer the penalty of imprisonment ranging from Eight (8) years and Eight (8) months of </w:t>
      </w:r>
      <w:proofErr w:type="spellStart"/>
      <w:r w:rsidRPr="00AD1868">
        <w:rPr>
          <w:rFonts w:asciiTheme="majorHAnsi" w:hAnsiTheme="majorHAnsi"/>
          <w:color w:val="000000"/>
        </w:rPr>
        <w:t>Prision</w:t>
      </w:r>
      <w:proofErr w:type="spellEnd"/>
      <w:r w:rsidRPr="00AD1868">
        <w:rPr>
          <w:rFonts w:asciiTheme="majorHAnsi" w:hAnsiTheme="majorHAnsi"/>
          <w:color w:val="000000"/>
        </w:rPr>
        <w:t xml:space="preserve"> Mayor as minimum to Fourteen (14) years and Ten (10) months of Reclusion Temporal as maximum.  The accused is moreover ordered to pay Domingo del </w:t>
      </w:r>
      <w:proofErr w:type="spellStart"/>
      <w:r w:rsidRPr="00AD1868">
        <w:rPr>
          <w:rFonts w:asciiTheme="majorHAnsi" w:hAnsiTheme="majorHAnsi"/>
          <w:color w:val="000000"/>
        </w:rPr>
        <w:t>Mundo</w:t>
      </w:r>
      <w:proofErr w:type="spellEnd"/>
      <w:r w:rsidRPr="00AD1868">
        <w:rPr>
          <w:rFonts w:asciiTheme="majorHAnsi" w:hAnsiTheme="majorHAnsi"/>
          <w:color w:val="000000"/>
        </w:rPr>
        <w:t xml:space="preserve"> the amount of P60</w:t>
      </w:r>
      <w:proofErr w:type="gramStart"/>
      <w:r w:rsidRPr="00AD1868">
        <w:rPr>
          <w:rFonts w:asciiTheme="majorHAnsi" w:hAnsiTheme="majorHAnsi"/>
          <w:color w:val="000000"/>
        </w:rPr>
        <w:t>,000.00</w:t>
      </w:r>
      <w:proofErr w:type="gramEnd"/>
      <w:r w:rsidRPr="00AD1868">
        <w:rPr>
          <w:rFonts w:asciiTheme="majorHAnsi" w:hAnsiTheme="majorHAnsi"/>
          <w:color w:val="000000"/>
        </w:rPr>
        <w:t xml:space="preserve"> representing the value of the car, plus costs of suit.</w:t>
      </w:r>
      <w:r w:rsidRPr="00AD1868">
        <w:rPr>
          <w:rFonts w:asciiTheme="majorHAnsi" w:hAnsiTheme="majorHAnsi"/>
          <w:color w:val="000000"/>
        </w:rPr>
        <w:br/>
      </w:r>
      <w:r w:rsidRPr="00AD1868">
        <w:rPr>
          <w:rFonts w:asciiTheme="majorHAnsi" w:hAnsiTheme="majorHAnsi"/>
          <w:color w:val="000000"/>
        </w:rPr>
        <w:br/>
        <w:t>SO ORDERED</w:t>
      </w:r>
      <w:proofErr w:type="gramStart"/>
      <w:r w:rsidRPr="00AD1868">
        <w:rPr>
          <w:rFonts w:asciiTheme="majorHAnsi" w:hAnsiTheme="majorHAnsi"/>
          <w:color w:val="000000"/>
        </w:rPr>
        <w:t>.</w:t>
      </w:r>
      <w:r>
        <w:rPr>
          <w:rFonts w:ascii="Verdana" w:hAnsi="Verdana"/>
          <w:color w:val="FF0000"/>
          <w:vertAlign w:val="superscript"/>
        </w:rPr>
        <w:t>[</w:t>
      </w:r>
      <w:proofErr w:type="gramEnd"/>
      <w:r>
        <w:rPr>
          <w:rFonts w:ascii="Verdana" w:hAnsi="Verdana"/>
          <w:color w:val="FF0000"/>
          <w:vertAlign w:val="superscript"/>
        </w:rPr>
        <w:t>7]</w:t>
      </w:r>
    </w:p>
    <w:p w:rsidR="006A7FF1" w:rsidRDefault="006A7FF1" w:rsidP="006A7FF1">
      <w:pPr>
        <w:rPr>
          <w:rFonts w:ascii="Verdana" w:hAnsi="Verdana"/>
          <w:color w:val="000000"/>
        </w:rPr>
      </w:pPr>
      <w:r>
        <w:rPr>
          <w:rFonts w:ascii="Verdana" w:hAnsi="Verdana"/>
          <w:color w:val="000000"/>
        </w:rPr>
        <w:lastRenderedPageBreak/>
        <w:br/>
        <w:t>On appeal, the Court of Appeals affirmed </w:t>
      </w:r>
      <w:r>
        <w:rPr>
          <w:rFonts w:ascii="Verdana" w:hAnsi="Verdana"/>
          <w:i/>
          <w:iCs/>
          <w:color w:val="000000"/>
        </w:rPr>
        <w:t xml:space="preserve">in </w:t>
      </w:r>
      <w:proofErr w:type="spellStart"/>
      <w:r>
        <w:rPr>
          <w:rFonts w:ascii="Verdana" w:hAnsi="Verdana"/>
          <w:i/>
          <w:iCs/>
          <w:color w:val="000000"/>
        </w:rPr>
        <w:t>toto</w:t>
      </w:r>
      <w:proofErr w:type="spellEnd"/>
      <w:r>
        <w:rPr>
          <w:rFonts w:ascii="Verdana" w:hAnsi="Verdana"/>
          <w:color w:val="000000"/>
        </w:rPr>
        <w:t xml:space="preserve"> the decision of the trial court.  The appellate court gave credence to the trial court's findings that the elements of the crime of </w:t>
      </w:r>
      <w:proofErr w:type="spellStart"/>
      <w:r>
        <w:rPr>
          <w:rFonts w:ascii="Verdana" w:hAnsi="Verdana"/>
          <w:color w:val="000000"/>
        </w:rPr>
        <w:t>estafa</w:t>
      </w:r>
      <w:proofErr w:type="spellEnd"/>
      <w:r>
        <w:rPr>
          <w:rFonts w:ascii="Verdana" w:hAnsi="Verdana"/>
          <w:color w:val="000000"/>
        </w:rPr>
        <w:t xml:space="preserve"> with abuse of confidence were present.  The private complainant's car was received at the motor shop operated by the petitioner who was under the obligation to repair and deliver it to the private complainant's house.  Although it was Bautista, the petitioner's mechanic, who personally received the car, the fact remained that the petitioner was then present and even assured the private complainant that the car would be safe in his motor shop.  Like the trial court, the Court of Appeals ruled that the private complainant would not have returned to the petitioner's motor shop after the two-week extension were it not precisely to demand for the return of his car.</w:t>
      </w:r>
      <w:r>
        <w:rPr>
          <w:rFonts w:ascii="Verdana" w:hAnsi="Verdana"/>
          <w:color w:val="000000"/>
        </w:rPr>
        <w:br/>
      </w:r>
      <w:r>
        <w:rPr>
          <w:rFonts w:ascii="Verdana" w:hAnsi="Verdana"/>
          <w:color w:val="000000"/>
        </w:rPr>
        <w:br/>
        <w:t>The Court of Appe</w:t>
      </w:r>
      <w:bookmarkStart w:id="0" w:name="_GoBack"/>
      <w:bookmarkEnd w:id="0"/>
      <w:r>
        <w:rPr>
          <w:rFonts w:ascii="Verdana" w:hAnsi="Verdana"/>
          <w:color w:val="000000"/>
        </w:rPr>
        <w:t>als likewise held that the trial court never </w:t>
      </w:r>
      <w:r>
        <w:rPr>
          <w:rFonts w:ascii="Verdana" w:hAnsi="Verdana"/>
          <w:i/>
          <w:iCs/>
          <w:color w:val="000000"/>
        </w:rPr>
        <w:t>deprived</w:t>
      </w:r>
      <w:r>
        <w:rPr>
          <w:rFonts w:ascii="Verdana" w:hAnsi="Verdana"/>
          <w:color w:val="000000"/>
        </w:rPr>
        <w:t> the petitioner of his right to counsel as he was represented by a counsel de parte, Atty. Glenn P. Mendoza.  When said counsel withdrew, the trial court allowed the resetting of the petitioner's cross-examination to give him time to engage the services of another counsel.  It ordered the striking of his testimony from the records only after his new counsel failed to appear at the subsequent hearings.</w:t>
      </w:r>
    </w:p>
    <w:p w:rsidR="006A7FF1" w:rsidRDefault="006A7FF1" w:rsidP="006A7FF1">
      <w:pPr>
        <w:rPr>
          <w:rFonts w:ascii="Verdana" w:hAnsi="Verdana"/>
          <w:color w:val="000000"/>
        </w:rPr>
      </w:pPr>
      <w:r>
        <w:rPr>
          <w:rFonts w:ascii="Verdana" w:hAnsi="Verdana"/>
          <w:color w:val="000000"/>
        </w:rPr>
        <w:t>Before us, the petitioner raises now the following issues:</w:t>
      </w:r>
    </w:p>
    <w:p w:rsidR="006A7FF1" w:rsidRDefault="006A7FF1" w:rsidP="006A7FF1">
      <w:pPr>
        <w:pStyle w:val="NormalWeb"/>
        <w:jc w:val="center"/>
        <w:rPr>
          <w:rFonts w:ascii="Verdana" w:hAnsi="Verdana"/>
          <w:color w:val="000000"/>
          <w:sz w:val="22"/>
          <w:szCs w:val="22"/>
        </w:rPr>
      </w:pPr>
      <w:r>
        <w:rPr>
          <w:rFonts w:ascii="Verdana" w:hAnsi="Verdana"/>
          <w:color w:val="000000"/>
          <w:sz w:val="22"/>
          <w:szCs w:val="22"/>
        </w:rPr>
        <w:t>I</w:t>
      </w:r>
    </w:p>
    <w:p w:rsidR="006A7FF1" w:rsidRDefault="006A7FF1" w:rsidP="006A7FF1">
      <w:pPr>
        <w:rPr>
          <w:rFonts w:ascii="Verdana" w:hAnsi="Verdana"/>
          <w:color w:val="000000"/>
        </w:rPr>
      </w:pPr>
      <w:r>
        <w:rPr>
          <w:rFonts w:ascii="Verdana" w:hAnsi="Verdana"/>
          <w:color w:val="000000"/>
        </w:rPr>
        <w:t>WHETHER THE COURT OF APPEALS GRAVELY ERRED WHEN IT DID NOT CONSIDER THAT THE PROSECUTION FAILED TO PROVE THAT THE SUBJECT VEHICLE WAS ENTRUSTED TO THE PETITIONER-ACCUSED.</w:t>
      </w:r>
    </w:p>
    <w:p w:rsidR="006A7FF1" w:rsidRDefault="006A7FF1" w:rsidP="006A7FF1">
      <w:pPr>
        <w:pStyle w:val="NormalWeb"/>
        <w:jc w:val="center"/>
        <w:rPr>
          <w:rFonts w:ascii="Verdana" w:hAnsi="Verdana"/>
          <w:color w:val="000000"/>
          <w:sz w:val="22"/>
          <w:szCs w:val="22"/>
        </w:rPr>
      </w:pPr>
      <w:r>
        <w:rPr>
          <w:rFonts w:ascii="Verdana" w:hAnsi="Verdana"/>
          <w:color w:val="000000"/>
          <w:sz w:val="22"/>
          <w:szCs w:val="22"/>
        </w:rPr>
        <w:t>II</w:t>
      </w:r>
    </w:p>
    <w:p w:rsidR="006A7FF1" w:rsidRDefault="006A7FF1" w:rsidP="006A7FF1">
      <w:pPr>
        <w:rPr>
          <w:rFonts w:ascii="Verdana" w:hAnsi="Verdana"/>
          <w:color w:val="000000"/>
        </w:rPr>
      </w:pPr>
      <w:r>
        <w:rPr>
          <w:rFonts w:ascii="Verdana" w:hAnsi="Verdana"/>
          <w:color w:val="000000"/>
        </w:rPr>
        <w:t>WHETHER THE COURT OF APPEALS GRAVELY ERRED WHEN IT AFFIRMED THE TRIAL COURT'S FINDING OF GUILT AGAINST THE PETITIONER-ACCUSED DESPITE THE ABSENCE OF FORMAL DEMAND FOR THE PETITIONER-ACCUSED TO FULFILL THE TRUST OR TO RETURN THE THING RECEIVED.</w:t>
      </w:r>
    </w:p>
    <w:p w:rsidR="006A7FF1" w:rsidRDefault="006A7FF1" w:rsidP="006A7FF1">
      <w:pPr>
        <w:pStyle w:val="NormalWeb"/>
        <w:jc w:val="center"/>
        <w:rPr>
          <w:rFonts w:ascii="Verdana" w:hAnsi="Verdana"/>
          <w:color w:val="000000"/>
          <w:sz w:val="22"/>
          <w:szCs w:val="22"/>
        </w:rPr>
      </w:pPr>
      <w:r>
        <w:rPr>
          <w:rFonts w:ascii="Verdana" w:hAnsi="Verdana"/>
          <w:color w:val="000000"/>
          <w:sz w:val="22"/>
          <w:szCs w:val="22"/>
        </w:rPr>
        <w:t>III</w:t>
      </w:r>
    </w:p>
    <w:p w:rsidR="006A7FF1" w:rsidRDefault="006A7FF1" w:rsidP="006A7FF1">
      <w:pPr>
        <w:rPr>
          <w:rFonts w:ascii="Verdana" w:hAnsi="Verdana"/>
          <w:color w:val="000000"/>
        </w:rPr>
      </w:pPr>
      <w:r>
        <w:rPr>
          <w:rFonts w:ascii="Verdana" w:hAnsi="Verdana"/>
          <w:color w:val="000000"/>
        </w:rPr>
        <w:t>WHETHER THE COURT OF APPEALS GRAVELY ERRED WHEN IT RULED THAT THE TRIAL COURT NEVER DEPRIVED THE PETITIONER-ACCUSED OF HIS CONSTITUTIONAL RIGHT TO COUNSEL</w:t>
      </w:r>
      <w:proofErr w:type="gramStart"/>
      <w:r>
        <w:rPr>
          <w:rFonts w:ascii="Verdana" w:hAnsi="Verdana"/>
          <w:color w:val="000000"/>
        </w:rPr>
        <w:t>.</w:t>
      </w:r>
      <w:r>
        <w:rPr>
          <w:rFonts w:ascii="Verdana" w:hAnsi="Verdana"/>
          <w:color w:val="FF0000"/>
          <w:vertAlign w:val="superscript"/>
        </w:rPr>
        <w:t>[</w:t>
      </w:r>
      <w:proofErr w:type="gramEnd"/>
      <w:r>
        <w:rPr>
          <w:rFonts w:ascii="Verdana" w:hAnsi="Verdana"/>
          <w:color w:val="FF0000"/>
          <w:vertAlign w:val="superscript"/>
        </w:rPr>
        <w:t>8]</w:t>
      </w:r>
    </w:p>
    <w:p w:rsidR="006A7FF1" w:rsidRDefault="006A7FF1" w:rsidP="006A7FF1">
      <w:pPr>
        <w:spacing w:after="240"/>
        <w:rPr>
          <w:rFonts w:ascii="Verdana" w:hAnsi="Verdana"/>
          <w:color w:val="000000"/>
        </w:rPr>
      </w:pPr>
      <w:r>
        <w:rPr>
          <w:rFonts w:ascii="Verdana" w:hAnsi="Verdana"/>
          <w:color w:val="000000"/>
        </w:rPr>
        <w:t xml:space="preserve">Simply put: the issues for our resolution are:  (1) </w:t>
      </w:r>
      <w:proofErr w:type="gramStart"/>
      <w:r>
        <w:rPr>
          <w:rFonts w:ascii="Verdana" w:hAnsi="Verdana"/>
          <w:color w:val="000000"/>
        </w:rPr>
        <w:t>Was</w:t>
      </w:r>
      <w:proofErr w:type="gramEnd"/>
      <w:r>
        <w:rPr>
          <w:rFonts w:ascii="Verdana" w:hAnsi="Verdana"/>
          <w:color w:val="000000"/>
        </w:rPr>
        <w:t xml:space="preserve"> there sufficient evidence to sustain the petitioner's conviction?  (2) Was petitioner deprived of his right to counsel?</w:t>
      </w:r>
      <w:r>
        <w:rPr>
          <w:rFonts w:ascii="Verdana" w:hAnsi="Verdana"/>
          <w:color w:val="000000"/>
        </w:rPr>
        <w:br/>
      </w:r>
      <w:r>
        <w:rPr>
          <w:rFonts w:ascii="Verdana" w:hAnsi="Verdana"/>
          <w:color w:val="000000"/>
        </w:rPr>
        <w:lastRenderedPageBreak/>
        <w:br/>
        <w:t xml:space="preserve">Petitioner argues on the first issue, that the Court of Appeals committed a reversible error in convicting him without sufficient evidence of his guilt.   He contends that the trial court gravely misapprehended the facts in finding that the elements of </w:t>
      </w:r>
      <w:proofErr w:type="spellStart"/>
      <w:r>
        <w:rPr>
          <w:rFonts w:ascii="Verdana" w:hAnsi="Verdana"/>
          <w:color w:val="000000"/>
        </w:rPr>
        <w:t>estafa</w:t>
      </w:r>
      <w:proofErr w:type="spellEnd"/>
      <w:r>
        <w:rPr>
          <w:rFonts w:ascii="Verdana" w:hAnsi="Verdana"/>
          <w:color w:val="000000"/>
        </w:rPr>
        <w:t xml:space="preserve"> with abuse of confidence, under Article 315 1(b) of the Revised Penal Code, were present.  He stresses that the car was not entrusted to him and that he had no duty to deliver it to the private complainant.  He adds that the private complainant did not demand for the return of his car.</w:t>
      </w:r>
      <w:r>
        <w:rPr>
          <w:rFonts w:ascii="Verdana" w:hAnsi="Verdana"/>
          <w:color w:val="000000"/>
        </w:rPr>
        <w:br/>
      </w:r>
      <w:r>
        <w:rPr>
          <w:rFonts w:ascii="Verdana" w:hAnsi="Verdana"/>
          <w:color w:val="000000"/>
        </w:rPr>
        <w:br/>
      </w:r>
      <w:r w:rsidRPr="006A7FF1">
        <w:rPr>
          <w:rFonts w:ascii="Verdana" w:hAnsi="Verdana"/>
          <w:color w:val="000000"/>
          <w:highlight w:val="yellow"/>
        </w:rPr>
        <w:t xml:space="preserve">The elements of </w:t>
      </w:r>
      <w:proofErr w:type="spellStart"/>
      <w:r w:rsidRPr="006A7FF1">
        <w:rPr>
          <w:rFonts w:ascii="Verdana" w:hAnsi="Verdana"/>
          <w:color w:val="000000"/>
          <w:highlight w:val="yellow"/>
        </w:rPr>
        <w:t>estafa</w:t>
      </w:r>
      <w:proofErr w:type="spellEnd"/>
      <w:r w:rsidRPr="006A7FF1">
        <w:rPr>
          <w:rFonts w:ascii="Verdana" w:hAnsi="Verdana"/>
          <w:color w:val="000000"/>
          <w:highlight w:val="yellow"/>
        </w:rPr>
        <w:t xml:space="preserve"> under Article 315 1(b) of the Revised Penal Code are as follows:  (1) that money, goods, or other personal properties are received by the offender in trust, or on commission, or for administration, or under any other obligation involving the duty to make delivery of, or to return, the same; (2) that there is a misappropriation or conversion of such money or property by the offender or denial on his part of such receipt; (3) that such misappropriation or conversion or denial is to the prejudice of another; and, (4) that there is a demand made by the offended party on the offender.</w:t>
      </w:r>
      <w:r>
        <w:rPr>
          <w:rFonts w:ascii="Verdana" w:hAnsi="Verdana"/>
          <w:color w:val="FF0000"/>
          <w:vertAlign w:val="superscript"/>
        </w:rPr>
        <w:t>[9]</w:t>
      </w:r>
      <w:r>
        <w:rPr>
          <w:rFonts w:ascii="Verdana" w:hAnsi="Verdana"/>
          <w:color w:val="000000"/>
        </w:rPr>
        <w:br/>
      </w:r>
      <w:r>
        <w:rPr>
          <w:rFonts w:ascii="Verdana" w:hAnsi="Verdana"/>
          <w:color w:val="000000"/>
        </w:rPr>
        <w:br/>
        <w:t xml:space="preserve">Based on the evidence, we entertain no doubt that petitioner operated the </w:t>
      </w:r>
      <w:proofErr w:type="spellStart"/>
      <w:r>
        <w:rPr>
          <w:rFonts w:ascii="Verdana" w:hAnsi="Verdana"/>
          <w:color w:val="000000"/>
        </w:rPr>
        <w:t>Paeng</w:t>
      </w:r>
      <w:proofErr w:type="spellEnd"/>
      <w:r>
        <w:rPr>
          <w:rFonts w:ascii="Verdana" w:hAnsi="Verdana"/>
          <w:color w:val="000000"/>
        </w:rPr>
        <w:t xml:space="preserve"> </w:t>
      </w:r>
      <w:proofErr w:type="spellStart"/>
      <w:r>
        <w:rPr>
          <w:rFonts w:ascii="Verdana" w:hAnsi="Verdana"/>
          <w:color w:val="000000"/>
        </w:rPr>
        <w:t>Motorworks</w:t>
      </w:r>
      <w:proofErr w:type="spellEnd"/>
      <w:r>
        <w:rPr>
          <w:rFonts w:ascii="Verdana" w:hAnsi="Verdana"/>
          <w:color w:val="000000"/>
        </w:rPr>
        <w:t xml:space="preserve">. Private complainant Domingo del </w:t>
      </w:r>
      <w:proofErr w:type="spellStart"/>
      <w:r>
        <w:rPr>
          <w:rFonts w:ascii="Verdana" w:hAnsi="Verdana"/>
          <w:color w:val="000000"/>
        </w:rPr>
        <w:t>Mundo</w:t>
      </w:r>
      <w:proofErr w:type="spellEnd"/>
      <w:r>
        <w:rPr>
          <w:rFonts w:ascii="Verdana" w:hAnsi="Verdana"/>
          <w:color w:val="000000"/>
        </w:rPr>
        <w:t xml:space="preserve"> categorically identified the petitioner as the owner</w:t>
      </w:r>
      <w:proofErr w:type="gramStart"/>
      <w:r>
        <w:rPr>
          <w:rFonts w:ascii="Verdana" w:hAnsi="Verdana"/>
          <w:color w:val="000000"/>
        </w:rPr>
        <w:t>.</w:t>
      </w:r>
      <w:r>
        <w:rPr>
          <w:rFonts w:ascii="Verdana" w:hAnsi="Verdana"/>
          <w:color w:val="FF0000"/>
          <w:vertAlign w:val="superscript"/>
        </w:rPr>
        <w:t>[</w:t>
      </w:r>
      <w:proofErr w:type="gramEnd"/>
      <w:r>
        <w:rPr>
          <w:rFonts w:ascii="Verdana" w:hAnsi="Verdana"/>
          <w:color w:val="FF0000"/>
          <w:vertAlign w:val="superscript"/>
        </w:rPr>
        <w:t>10]</w:t>
      </w:r>
      <w:r>
        <w:rPr>
          <w:rFonts w:ascii="Verdana" w:hAnsi="Verdana"/>
          <w:color w:val="000000"/>
        </w:rPr>
        <w:t> There is no denying that Jose Bautista, to whom the car was entrusted, was a mechanic in petitioner's shop.  Petitioner could not disclaim responsibility for the return of the car simply because it was his mechanic who received it.  In fact, when the car was left with Bautista, the petitioner was present, and petitioner even assured the private complainant that it would be safe in his motor shop</w:t>
      </w:r>
      <w:proofErr w:type="gramStart"/>
      <w:r>
        <w:rPr>
          <w:rFonts w:ascii="Verdana" w:hAnsi="Verdana"/>
          <w:color w:val="000000"/>
        </w:rPr>
        <w:t>.</w:t>
      </w:r>
      <w:r>
        <w:rPr>
          <w:rFonts w:ascii="Verdana" w:hAnsi="Verdana"/>
          <w:color w:val="FF0000"/>
          <w:vertAlign w:val="superscript"/>
        </w:rPr>
        <w:t>[</w:t>
      </w:r>
      <w:proofErr w:type="gramEnd"/>
      <w:r>
        <w:rPr>
          <w:rFonts w:ascii="Verdana" w:hAnsi="Verdana"/>
          <w:color w:val="FF0000"/>
          <w:vertAlign w:val="superscript"/>
        </w:rPr>
        <w:t>11]</w:t>
      </w:r>
      <w:r>
        <w:rPr>
          <w:rFonts w:ascii="Verdana" w:hAnsi="Verdana"/>
          <w:color w:val="000000"/>
        </w:rPr>
        <w:br/>
      </w:r>
      <w:r>
        <w:rPr>
          <w:rFonts w:ascii="Verdana" w:hAnsi="Verdana"/>
          <w:color w:val="000000"/>
        </w:rPr>
        <w:br/>
        <w:t xml:space="preserve">Even if we give credence to petitioner's allegation that at the time the car was left, it was Bautista who operated the motor shop by virtue of a verbal lease with his mother, he is still liable for </w:t>
      </w:r>
      <w:proofErr w:type="spellStart"/>
      <w:r>
        <w:rPr>
          <w:rFonts w:ascii="Verdana" w:hAnsi="Verdana"/>
          <w:color w:val="000000"/>
        </w:rPr>
        <w:t>estafa</w:t>
      </w:r>
      <w:proofErr w:type="spellEnd"/>
      <w:r>
        <w:rPr>
          <w:rFonts w:ascii="Verdana" w:hAnsi="Verdana"/>
          <w:color w:val="000000"/>
        </w:rPr>
        <w:t>.  As alleged by the petitioner himself, Bautista abandoned the motor shop on October 1993.  Yet, he never denied the fact that when the private complainant returned to the motor shop in January 1994, the car and its engine were still there.  By then, the petitioner should have been put on notice as to the car's ownership.  Notwithstanding this information, however, petitioner still sold its differential and cylinder head.</w:t>
      </w:r>
      <w:r>
        <w:rPr>
          <w:rFonts w:ascii="Verdana" w:hAnsi="Verdana"/>
          <w:color w:val="000000"/>
        </w:rPr>
        <w:br/>
      </w:r>
      <w:r>
        <w:rPr>
          <w:rFonts w:ascii="Verdana" w:hAnsi="Verdana"/>
          <w:color w:val="000000"/>
        </w:rPr>
        <w:br/>
        <w:t xml:space="preserve">On the issue of demand, it is our view that demand was properly made when the private complainant returned to the motor shop after giving the petitioner a two-week extension to complete the car's repair.  When the private complainant went to the motor shop on January 1994, the petitioner promised to deliver the car after two weeks.  When he failed in his promise, petitioner was given by the private complainant another two-week </w:t>
      </w:r>
      <w:r>
        <w:rPr>
          <w:rFonts w:ascii="Verdana" w:hAnsi="Verdana"/>
          <w:color w:val="000000"/>
        </w:rPr>
        <w:lastRenderedPageBreak/>
        <w:t>extension.  It was only when the car was still not delivered to the private complainant, that he went back to the motor shop again, and finally discovered that his car was missing there.</w:t>
      </w:r>
      <w:r>
        <w:rPr>
          <w:rFonts w:ascii="Verdana" w:hAnsi="Verdana"/>
          <w:color w:val="000000"/>
        </w:rPr>
        <w:br/>
      </w:r>
      <w:r>
        <w:rPr>
          <w:rFonts w:ascii="Verdana" w:hAnsi="Verdana"/>
          <w:color w:val="000000"/>
        </w:rPr>
        <w:br/>
        <w:t>Given the circumstances on record, we find the petitioner's acts inexcusable and his testimony on the witness stand unconvincing.  Petitioner's allegations now are nothing but a rehash of arguments he unsuccessfully raised before the trial court and the Court of Appeals.  It must be stressed that except for the petitioner's claim that he was deprived of his constitutional right to counsel, all the grounds raised by him now involve factual issues already passed upon twice below, and are inappropriate in a petition for review under Rule 45, which allows only questions of law to be raised.</w:t>
      </w:r>
      <w:r>
        <w:rPr>
          <w:rFonts w:ascii="Verdana" w:hAnsi="Verdana"/>
          <w:color w:val="000000"/>
        </w:rPr>
        <w:br/>
      </w:r>
      <w:r>
        <w:rPr>
          <w:rFonts w:ascii="Verdana" w:hAnsi="Verdana"/>
          <w:color w:val="000000"/>
        </w:rPr>
        <w:br/>
      </w:r>
      <w:r w:rsidRPr="006A7FF1">
        <w:rPr>
          <w:rFonts w:ascii="Verdana" w:hAnsi="Verdana"/>
          <w:color w:val="000000"/>
          <w:highlight w:val="yellow"/>
        </w:rPr>
        <w:t>Factual findings and conclusions of the trial court and the Court of Appeals are entitled to great weight and respect, and will not be disturbed on review by us, in the absence of any clear showing that the lower courts overlooked certain facts or circumstances which would substantially affect the disposition of the case.  The jurisdiction of this Court over cases elevated from the Court of Appeals is limited to reviewing or revising errors of law ascribed to the Court of Appeals.  The factual findings of the appellate court generally are conclusive, and carry even more weight when said court affirms the findings of the trial court, absent any showing that the findings are totally devoid of support in the record or that they are so glaringly erroneous as to constitute grave abuse of discretion</w:t>
      </w:r>
      <w:proofErr w:type="gramStart"/>
      <w:r w:rsidRPr="006A7FF1">
        <w:rPr>
          <w:rFonts w:ascii="Verdana" w:hAnsi="Verdana"/>
          <w:color w:val="000000"/>
          <w:highlight w:val="yellow"/>
        </w:rPr>
        <w:t>.</w:t>
      </w:r>
      <w:r>
        <w:rPr>
          <w:rFonts w:ascii="Verdana" w:hAnsi="Verdana"/>
          <w:color w:val="FF0000"/>
          <w:vertAlign w:val="superscript"/>
        </w:rPr>
        <w:t>[</w:t>
      </w:r>
      <w:proofErr w:type="gramEnd"/>
      <w:r>
        <w:rPr>
          <w:rFonts w:ascii="Verdana" w:hAnsi="Verdana"/>
          <w:color w:val="FF0000"/>
          <w:vertAlign w:val="superscript"/>
        </w:rPr>
        <w:t>12]</w:t>
      </w:r>
      <w:r>
        <w:rPr>
          <w:rFonts w:ascii="Verdana" w:hAnsi="Verdana"/>
          <w:color w:val="000000"/>
        </w:rPr>
        <w:br/>
      </w:r>
      <w:r>
        <w:rPr>
          <w:rFonts w:ascii="Verdana" w:hAnsi="Verdana"/>
          <w:color w:val="000000"/>
        </w:rPr>
        <w:br/>
        <w:t>Now, in this case, the only question of law properly raised is whether the petitioner was deprived of his constitutional right to counsel.  In his Reply</w:t>
      </w:r>
      <w:proofErr w:type="gramStart"/>
      <w:r>
        <w:rPr>
          <w:rFonts w:ascii="Verdana" w:hAnsi="Verdana"/>
          <w:color w:val="000000"/>
        </w:rPr>
        <w:t>,</w:t>
      </w:r>
      <w:r>
        <w:rPr>
          <w:rFonts w:ascii="Verdana" w:hAnsi="Verdana"/>
          <w:color w:val="FF0000"/>
          <w:vertAlign w:val="superscript"/>
        </w:rPr>
        <w:t>[</w:t>
      </w:r>
      <w:proofErr w:type="gramEnd"/>
      <w:r>
        <w:rPr>
          <w:rFonts w:ascii="Verdana" w:hAnsi="Verdana"/>
          <w:color w:val="FF0000"/>
          <w:vertAlign w:val="superscript"/>
        </w:rPr>
        <w:t>13]</w:t>
      </w:r>
      <w:r>
        <w:rPr>
          <w:rFonts w:ascii="Verdana" w:hAnsi="Verdana"/>
          <w:color w:val="000000"/>
        </w:rPr>
        <w:t> petitioner contends that the trial court should have appointed a counsel </w:t>
      </w:r>
      <w:r>
        <w:rPr>
          <w:rFonts w:ascii="Verdana" w:hAnsi="Verdana"/>
          <w:i/>
          <w:iCs/>
          <w:color w:val="000000"/>
        </w:rPr>
        <w:t xml:space="preserve">de </w:t>
      </w:r>
      <w:proofErr w:type="spellStart"/>
      <w:r>
        <w:rPr>
          <w:rFonts w:ascii="Verdana" w:hAnsi="Verdana"/>
          <w:i/>
          <w:iCs/>
          <w:color w:val="000000"/>
        </w:rPr>
        <w:t>oficio</w:t>
      </w:r>
      <w:proofErr w:type="spellEnd"/>
      <w:r w:rsidR="00DF721E">
        <w:rPr>
          <w:rFonts w:ascii="Verdana" w:hAnsi="Verdana"/>
          <w:i/>
          <w:iCs/>
          <w:color w:val="000000"/>
        </w:rPr>
        <w:t xml:space="preserve"> </w:t>
      </w:r>
      <w:r>
        <w:rPr>
          <w:rFonts w:ascii="Verdana" w:hAnsi="Verdana"/>
          <w:color w:val="000000"/>
        </w:rPr>
        <w:t>when his counsel consistently failed to appear for his cross-examination.</w:t>
      </w:r>
      <w:r>
        <w:rPr>
          <w:rFonts w:ascii="Verdana" w:hAnsi="Verdana"/>
          <w:color w:val="000000"/>
        </w:rPr>
        <w:br/>
      </w:r>
      <w:r>
        <w:rPr>
          <w:rFonts w:ascii="Verdana" w:hAnsi="Verdana"/>
          <w:color w:val="000000"/>
        </w:rPr>
        <w:br/>
      </w:r>
      <w:r w:rsidRPr="006A7FF1">
        <w:rPr>
          <w:rFonts w:ascii="Verdana" w:hAnsi="Verdana"/>
          <w:color w:val="000000"/>
          <w:highlight w:val="yellow"/>
        </w:rPr>
        <w:t xml:space="preserve">The duty of the court to appoint a counsel de </w:t>
      </w:r>
      <w:proofErr w:type="spellStart"/>
      <w:r w:rsidRPr="006A7FF1">
        <w:rPr>
          <w:rFonts w:ascii="Verdana" w:hAnsi="Verdana"/>
          <w:color w:val="000000"/>
          <w:highlight w:val="yellow"/>
        </w:rPr>
        <w:t>oficio</w:t>
      </w:r>
      <w:proofErr w:type="spellEnd"/>
      <w:r w:rsidRPr="006A7FF1">
        <w:rPr>
          <w:rFonts w:ascii="Verdana" w:hAnsi="Verdana"/>
          <w:color w:val="000000"/>
          <w:highlight w:val="yellow"/>
        </w:rPr>
        <w:t xml:space="preserve"> for the accused who has no counsel of choice and desires to employ the services of one is mandatory only at the time of arraignment.  No such duty exists where the accused has proceeded to arraignment and then trial with a counsel of his own choice.  Worth noting, when the time for the presentation of evidence for the </w:t>
      </w:r>
      <w:proofErr w:type="spellStart"/>
      <w:r w:rsidRPr="006A7FF1">
        <w:rPr>
          <w:rFonts w:ascii="Verdana" w:hAnsi="Verdana"/>
          <w:color w:val="000000"/>
          <w:highlight w:val="yellow"/>
        </w:rPr>
        <w:t>defense</w:t>
      </w:r>
      <w:proofErr w:type="spellEnd"/>
      <w:r w:rsidRPr="006A7FF1">
        <w:rPr>
          <w:rFonts w:ascii="Verdana" w:hAnsi="Verdana"/>
          <w:color w:val="000000"/>
          <w:highlight w:val="yellow"/>
        </w:rPr>
        <w:t xml:space="preserve"> arrived, and the defendant appeared by himself alone, the absence of his counsel was inexcusable</w:t>
      </w:r>
      <w:proofErr w:type="gramStart"/>
      <w:r>
        <w:rPr>
          <w:rFonts w:ascii="Verdana" w:hAnsi="Verdana"/>
          <w:color w:val="000000"/>
        </w:rPr>
        <w:t>.</w:t>
      </w:r>
      <w:r>
        <w:rPr>
          <w:rFonts w:ascii="Verdana" w:hAnsi="Verdana"/>
          <w:color w:val="FF0000"/>
          <w:vertAlign w:val="superscript"/>
        </w:rPr>
        <w:t>[</w:t>
      </w:r>
      <w:proofErr w:type="gramEnd"/>
      <w:r>
        <w:rPr>
          <w:rFonts w:ascii="Verdana" w:hAnsi="Verdana"/>
          <w:color w:val="FF0000"/>
          <w:vertAlign w:val="superscript"/>
        </w:rPr>
        <w:t>14]</w:t>
      </w:r>
      <w:r>
        <w:rPr>
          <w:rFonts w:ascii="Verdana" w:hAnsi="Verdana"/>
          <w:color w:val="000000"/>
        </w:rPr>
        <w:br/>
      </w:r>
      <w:r>
        <w:rPr>
          <w:rFonts w:ascii="Verdana" w:hAnsi="Verdana"/>
          <w:color w:val="000000"/>
        </w:rPr>
        <w:br/>
        <w:t>In the present case, since the petitioner was represented by counsel </w:t>
      </w:r>
      <w:r>
        <w:rPr>
          <w:rFonts w:ascii="Verdana" w:hAnsi="Verdana"/>
          <w:i/>
          <w:iCs/>
          <w:color w:val="000000"/>
        </w:rPr>
        <w:t>de parte</w:t>
      </w:r>
      <w:r>
        <w:rPr>
          <w:rFonts w:ascii="Verdana" w:hAnsi="Verdana"/>
          <w:color w:val="000000"/>
        </w:rPr>
        <w:t> at the arraignment and trial, the trial court could not be deemed duty-bound to appoint a counsel </w:t>
      </w:r>
      <w:r>
        <w:rPr>
          <w:rFonts w:ascii="Verdana" w:hAnsi="Verdana"/>
          <w:i/>
          <w:iCs/>
          <w:color w:val="000000"/>
        </w:rPr>
        <w:t xml:space="preserve">de </w:t>
      </w:r>
      <w:proofErr w:type="spellStart"/>
      <w:r>
        <w:rPr>
          <w:rFonts w:ascii="Verdana" w:hAnsi="Verdana"/>
          <w:i/>
          <w:iCs/>
          <w:color w:val="000000"/>
        </w:rPr>
        <w:t>oficio</w:t>
      </w:r>
      <w:proofErr w:type="spellEnd"/>
      <w:r>
        <w:rPr>
          <w:rFonts w:ascii="Verdana" w:hAnsi="Verdana"/>
          <w:color w:val="000000"/>
        </w:rPr>
        <w:t xml:space="preserve"> for the continuation of his cross-examination.  Indeed, after his initial cross-examination, the trial court granted the petitioner's motion to postpone, giving him sufficient time to </w:t>
      </w:r>
      <w:r>
        <w:rPr>
          <w:rFonts w:ascii="Verdana" w:hAnsi="Verdana"/>
          <w:color w:val="000000"/>
        </w:rPr>
        <w:lastRenderedPageBreak/>
        <w:t xml:space="preserve">engage the services of another counsel.  </w:t>
      </w:r>
      <w:proofErr w:type="gramStart"/>
      <w:r>
        <w:rPr>
          <w:rFonts w:ascii="Verdana" w:hAnsi="Verdana"/>
          <w:color w:val="000000"/>
        </w:rPr>
        <w:t xml:space="preserve">The failure of Atty. Jose </w:t>
      </w:r>
      <w:proofErr w:type="spellStart"/>
      <w:r>
        <w:rPr>
          <w:rFonts w:ascii="Verdana" w:hAnsi="Verdana"/>
          <w:color w:val="000000"/>
        </w:rPr>
        <w:t>Dimayuga</w:t>
      </w:r>
      <w:proofErr w:type="spellEnd"/>
      <w:r>
        <w:rPr>
          <w:rFonts w:ascii="Verdana" w:hAnsi="Verdana"/>
          <w:color w:val="000000"/>
        </w:rPr>
        <w:t>, his newly hired lawyer, to appear at the subsequent hearings without reason was sufficient legal basis for the trial court to order the striking from the records of his direct testimony, and thereafter render judgment upon the evidence already presented.</w:t>
      </w:r>
      <w:proofErr w:type="gramEnd"/>
      <w:r>
        <w:rPr>
          <w:rFonts w:ascii="Verdana" w:hAnsi="Verdana"/>
          <w:color w:val="000000"/>
        </w:rPr>
        <w:t>  In fact, the repeated failure to appear of defendant's counsel at the trial may even be taken as a deliberate attempt to delay the court's proceedings.</w:t>
      </w:r>
      <w:r>
        <w:rPr>
          <w:rFonts w:ascii="Verdana" w:hAnsi="Verdana"/>
          <w:color w:val="000000"/>
        </w:rPr>
        <w:br/>
      </w:r>
      <w:r>
        <w:rPr>
          <w:rFonts w:ascii="Verdana" w:hAnsi="Verdana"/>
          <w:color w:val="000000"/>
        </w:rPr>
        <w:br/>
        <w:t>At the most, the appointment of a counsel </w:t>
      </w:r>
      <w:r>
        <w:rPr>
          <w:rFonts w:ascii="Verdana" w:hAnsi="Verdana"/>
          <w:i/>
          <w:iCs/>
          <w:color w:val="000000"/>
        </w:rPr>
        <w:t xml:space="preserve">de </w:t>
      </w:r>
      <w:proofErr w:type="spellStart"/>
      <w:r>
        <w:rPr>
          <w:rFonts w:ascii="Verdana" w:hAnsi="Verdana"/>
          <w:i/>
          <w:iCs/>
          <w:color w:val="000000"/>
        </w:rPr>
        <w:t>oficio</w:t>
      </w:r>
      <w:proofErr w:type="spellEnd"/>
      <w:r>
        <w:rPr>
          <w:rFonts w:ascii="Verdana" w:hAnsi="Verdana"/>
          <w:color w:val="000000"/>
        </w:rPr>
        <w:t> in a situation like the present case would be discretionary with the trial court, which discretion will not be interfered with in the absence of grave abuse.</w:t>
      </w:r>
      <w:r>
        <w:rPr>
          <w:rFonts w:ascii="Verdana" w:hAnsi="Verdana"/>
          <w:color w:val="FF0000"/>
          <w:vertAlign w:val="superscript"/>
        </w:rPr>
        <w:t>[15]</w:t>
      </w:r>
      <w:r>
        <w:rPr>
          <w:rFonts w:ascii="Verdana" w:hAnsi="Verdana"/>
          <w:color w:val="000000"/>
        </w:rPr>
        <w:t> This Court is convinced that the trial court had been liberal in granting postponements asked by the petitioner himself.  We think that such liberality removes any doubt that its order was tainted with grave abuse of discretion.</w:t>
      </w:r>
      <w:r>
        <w:rPr>
          <w:rFonts w:ascii="Verdana" w:hAnsi="Verdana"/>
          <w:color w:val="000000"/>
        </w:rPr>
        <w:br/>
      </w:r>
      <w:r>
        <w:rPr>
          <w:rFonts w:ascii="Verdana" w:hAnsi="Verdana"/>
          <w:color w:val="000000"/>
        </w:rPr>
        <w:br/>
      </w:r>
      <w:r>
        <w:rPr>
          <w:rFonts w:ascii="Verdana" w:hAnsi="Verdana"/>
          <w:b/>
          <w:bCs/>
          <w:color w:val="000000"/>
        </w:rPr>
        <w:t>WHEREFORE</w:t>
      </w:r>
      <w:r>
        <w:rPr>
          <w:rFonts w:ascii="Verdana" w:hAnsi="Verdana"/>
          <w:color w:val="000000"/>
        </w:rPr>
        <w:t>, the instant petition is </w:t>
      </w:r>
      <w:r>
        <w:rPr>
          <w:rFonts w:ascii="Verdana" w:hAnsi="Verdana"/>
          <w:b/>
          <w:bCs/>
          <w:color w:val="000000"/>
        </w:rPr>
        <w:t>DENIED</w:t>
      </w:r>
      <w:r>
        <w:rPr>
          <w:rFonts w:ascii="Verdana" w:hAnsi="Verdana"/>
          <w:color w:val="000000"/>
        </w:rPr>
        <w:t xml:space="preserve">.  The decision dated March 11, 2002, of the Court of Appeals upholding the decision of the Regional Trial Court of </w:t>
      </w:r>
      <w:proofErr w:type="spellStart"/>
      <w:r>
        <w:rPr>
          <w:rFonts w:ascii="Verdana" w:hAnsi="Verdana"/>
          <w:color w:val="000000"/>
        </w:rPr>
        <w:t>Lipa</w:t>
      </w:r>
      <w:proofErr w:type="spellEnd"/>
      <w:r>
        <w:rPr>
          <w:rFonts w:ascii="Verdana" w:hAnsi="Verdana"/>
          <w:color w:val="000000"/>
        </w:rPr>
        <w:t xml:space="preserve"> City, Branch 85, in Criminal Case No. 972-94 is hereby </w:t>
      </w:r>
      <w:r>
        <w:rPr>
          <w:rFonts w:ascii="Verdana" w:hAnsi="Verdana"/>
          <w:b/>
          <w:bCs/>
          <w:color w:val="000000"/>
        </w:rPr>
        <w:t>AFFIRMED</w:t>
      </w:r>
      <w:r>
        <w:rPr>
          <w:rFonts w:ascii="Verdana" w:hAnsi="Verdana"/>
          <w:color w:val="000000"/>
        </w:rPr>
        <w:t>.</w:t>
      </w:r>
      <w:r>
        <w:rPr>
          <w:rFonts w:ascii="Verdana" w:hAnsi="Verdana"/>
          <w:color w:val="000000"/>
        </w:rPr>
        <w:br/>
      </w:r>
      <w:r>
        <w:rPr>
          <w:rFonts w:ascii="Verdana" w:hAnsi="Verdana"/>
          <w:color w:val="000000"/>
        </w:rPr>
        <w:br/>
        <w:t>No pronouncement as to costs.</w:t>
      </w:r>
      <w:r>
        <w:rPr>
          <w:rFonts w:ascii="Verdana" w:hAnsi="Verdana"/>
          <w:color w:val="000000"/>
        </w:rPr>
        <w:br/>
      </w:r>
      <w:r>
        <w:rPr>
          <w:rFonts w:ascii="Verdana" w:hAnsi="Verdana"/>
          <w:color w:val="000000"/>
        </w:rPr>
        <w:br/>
      </w:r>
      <w:proofErr w:type="gramStart"/>
      <w:r>
        <w:rPr>
          <w:rFonts w:ascii="Verdana" w:hAnsi="Verdana"/>
          <w:b/>
          <w:bCs/>
          <w:color w:val="000000"/>
        </w:rPr>
        <w:t>SO ORDERED</w:t>
      </w:r>
      <w:r>
        <w:rPr>
          <w:rFonts w:ascii="Verdana" w:hAnsi="Verdana"/>
          <w:color w:val="000000"/>
        </w:rPr>
        <w:t>.</w:t>
      </w:r>
      <w:proofErr w:type="gramEnd"/>
      <w:r>
        <w:rPr>
          <w:rFonts w:ascii="Verdana" w:hAnsi="Verdana"/>
          <w:color w:val="000000"/>
        </w:rPr>
        <w:br/>
      </w:r>
      <w:r>
        <w:rPr>
          <w:rFonts w:ascii="Verdana" w:hAnsi="Verdana"/>
          <w:color w:val="000000"/>
        </w:rPr>
        <w:br/>
      </w:r>
      <w:proofErr w:type="spellStart"/>
      <w:r>
        <w:rPr>
          <w:rFonts w:ascii="Verdana" w:hAnsi="Verdana"/>
          <w:i/>
          <w:iCs/>
          <w:color w:val="000000"/>
        </w:rPr>
        <w:t>Davide</w:t>
      </w:r>
      <w:proofErr w:type="spellEnd"/>
      <w:r>
        <w:rPr>
          <w:rFonts w:ascii="Verdana" w:hAnsi="Verdana"/>
          <w:i/>
          <w:iCs/>
          <w:color w:val="000000"/>
        </w:rPr>
        <w:t xml:space="preserve">, Jr., C.J., (Chairman), </w:t>
      </w:r>
      <w:proofErr w:type="spellStart"/>
      <w:r>
        <w:rPr>
          <w:rFonts w:ascii="Verdana" w:hAnsi="Verdana"/>
          <w:i/>
          <w:iCs/>
          <w:color w:val="000000"/>
        </w:rPr>
        <w:t>Ynares</w:t>
      </w:r>
      <w:proofErr w:type="spellEnd"/>
      <w:r>
        <w:rPr>
          <w:rFonts w:ascii="Verdana" w:hAnsi="Verdana"/>
          <w:i/>
          <w:iCs/>
          <w:color w:val="000000"/>
        </w:rPr>
        <w:t xml:space="preserve">-Santiago, </w:t>
      </w:r>
      <w:proofErr w:type="spellStart"/>
      <w:r>
        <w:rPr>
          <w:rFonts w:ascii="Verdana" w:hAnsi="Verdana"/>
          <w:i/>
          <w:iCs/>
          <w:color w:val="000000"/>
        </w:rPr>
        <w:t>Carpio</w:t>
      </w:r>
      <w:proofErr w:type="spellEnd"/>
      <w:r>
        <w:rPr>
          <w:rFonts w:ascii="Verdana" w:hAnsi="Verdana"/>
          <w:i/>
          <w:iCs/>
          <w:color w:val="000000"/>
        </w:rPr>
        <w:t xml:space="preserve">, and </w:t>
      </w:r>
      <w:proofErr w:type="spellStart"/>
      <w:r>
        <w:rPr>
          <w:rFonts w:ascii="Verdana" w:hAnsi="Verdana"/>
          <w:i/>
          <w:iCs/>
          <w:color w:val="000000"/>
        </w:rPr>
        <w:t>Azcuna</w:t>
      </w:r>
      <w:proofErr w:type="spellEnd"/>
      <w:r>
        <w:rPr>
          <w:rFonts w:ascii="Verdana" w:hAnsi="Verdana"/>
          <w:i/>
          <w:iCs/>
          <w:color w:val="000000"/>
        </w:rPr>
        <w:t xml:space="preserve">, </w:t>
      </w:r>
      <w:proofErr w:type="gramStart"/>
      <w:r>
        <w:rPr>
          <w:rFonts w:ascii="Verdana" w:hAnsi="Verdana"/>
          <w:i/>
          <w:iCs/>
          <w:color w:val="000000"/>
        </w:rPr>
        <w:t>JJ.</w:t>
      </w:r>
      <w:r>
        <w:rPr>
          <w:rFonts w:ascii="Verdana" w:hAnsi="Verdana"/>
          <w:color w:val="000000"/>
        </w:rPr>
        <w:t>,</w:t>
      </w:r>
      <w:proofErr w:type="gramEnd"/>
      <w:r>
        <w:rPr>
          <w:rFonts w:ascii="Verdana" w:hAnsi="Verdana"/>
          <w:color w:val="000000"/>
        </w:rPr>
        <w:t xml:space="preserve"> concur.</w:t>
      </w:r>
      <w:r>
        <w:rPr>
          <w:rFonts w:ascii="Verdana" w:hAnsi="Verdana"/>
          <w:color w:val="000000"/>
        </w:rPr>
        <w:br/>
      </w:r>
    </w:p>
    <w:p w:rsidR="006A7FF1" w:rsidRDefault="006A7FF1" w:rsidP="006A7FF1">
      <w:pPr>
        <w:spacing w:after="0"/>
        <w:rPr>
          <w:rFonts w:ascii="Verdana" w:hAnsi="Verdana"/>
          <w:color w:val="000000"/>
        </w:rPr>
      </w:pPr>
      <w:r>
        <w:rPr>
          <w:rFonts w:ascii="Verdana" w:hAnsi="Verdana"/>
          <w:color w:val="000000"/>
        </w:rPr>
        <w:pict>
          <v:rect id="_x0000_i1025" style="width:254.45pt;height:.75pt" o:hrpct="600" o:hrstd="t" o:hrnoshade="t" o:hr="t" fillcolor="#a0a0a0" stroked="f"/>
        </w:pict>
      </w:r>
    </w:p>
    <w:p w:rsidR="006A7FF1" w:rsidRPr="006A7FF1" w:rsidRDefault="006A7FF1" w:rsidP="006A7FF1">
      <w:pPr>
        <w:rPr>
          <w:rFonts w:ascii="Verdana" w:hAnsi="Verdana"/>
          <w:color w:val="000000"/>
          <w:sz w:val="16"/>
          <w:szCs w:val="16"/>
        </w:rPr>
      </w:pPr>
      <w:r w:rsidRPr="006A7FF1">
        <w:rPr>
          <w:rFonts w:ascii="Verdana" w:hAnsi="Verdana"/>
          <w:color w:val="FF0000"/>
          <w:sz w:val="16"/>
          <w:szCs w:val="16"/>
          <w:vertAlign w:val="superscript"/>
        </w:rPr>
        <w:t>[1]</w:t>
      </w:r>
      <w:r w:rsidRPr="006A7FF1">
        <w:rPr>
          <w:rFonts w:ascii="Verdana" w:hAnsi="Verdana"/>
          <w:color w:val="000000"/>
          <w:sz w:val="16"/>
          <w:szCs w:val="16"/>
        </w:rPr>
        <w:t xml:space="preserve"> Rollo, pp. 21-31.  Penned by Associate Justice </w:t>
      </w:r>
      <w:proofErr w:type="spellStart"/>
      <w:r w:rsidRPr="006A7FF1">
        <w:rPr>
          <w:rFonts w:ascii="Verdana" w:hAnsi="Verdana"/>
          <w:color w:val="000000"/>
          <w:sz w:val="16"/>
          <w:szCs w:val="16"/>
        </w:rPr>
        <w:t>Cancio</w:t>
      </w:r>
      <w:proofErr w:type="spellEnd"/>
      <w:r w:rsidRPr="006A7FF1">
        <w:rPr>
          <w:rFonts w:ascii="Verdana" w:hAnsi="Verdana"/>
          <w:color w:val="000000"/>
          <w:sz w:val="16"/>
          <w:szCs w:val="16"/>
        </w:rPr>
        <w:t xml:space="preserve"> C. Garcia (now a member of this Court), with Associate Justices Marina L. </w:t>
      </w:r>
      <w:proofErr w:type="spellStart"/>
      <w:r w:rsidRPr="006A7FF1">
        <w:rPr>
          <w:rFonts w:ascii="Verdana" w:hAnsi="Verdana"/>
          <w:color w:val="000000"/>
          <w:sz w:val="16"/>
          <w:szCs w:val="16"/>
        </w:rPr>
        <w:t>Buzon</w:t>
      </w:r>
      <w:proofErr w:type="spellEnd"/>
      <w:r w:rsidRPr="006A7FF1">
        <w:rPr>
          <w:rFonts w:ascii="Verdana" w:hAnsi="Verdana"/>
          <w:color w:val="000000"/>
          <w:sz w:val="16"/>
          <w:szCs w:val="16"/>
        </w:rPr>
        <w:t>, and Alicia L. Santos concurring.</w:t>
      </w:r>
      <w:r w:rsidRPr="006A7FF1">
        <w:rPr>
          <w:rFonts w:ascii="Verdana" w:hAnsi="Verdana"/>
          <w:color w:val="000000"/>
          <w:sz w:val="16"/>
          <w:szCs w:val="16"/>
        </w:rPr>
        <w:br/>
      </w:r>
      <w:r w:rsidRPr="006A7FF1">
        <w:rPr>
          <w:rFonts w:ascii="Verdana" w:hAnsi="Verdana"/>
          <w:color w:val="000000"/>
          <w:sz w:val="16"/>
          <w:szCs w:val="16"/>
        </w:rPr>
        <w:br/>
      </w:r>
      <w:r w:rsidRPr="006A7FF1">
        <w:rPr>
          <w:rFonts w:ascii="Verdana" w:hAnsi="Verdana"/>
          <w:color w:val="FF0000"/>
          <w:sz w:val="16"/>
          <w:szCs w:val="16"/>
          <w:vertAlign w:val="superscript"/>
        </w:rPr>
        <w:t>[2]</w:t>
      </w:r>
      <w:r w:rsidRPr="006A7FF1">
        <w:rPr>
          <w:rFonts w:ascii="Verdana" w:hAnsi="Verdana"/>
          <w:color w:val="000000"/>
          <w:sz w:val="16"/>
          <w:szCs w:val="16"/>
        </w:rPr>
        <w:t> Art. 315. </w:t>
      </w:r>
      <w:r w:rsidRPr="006A7FF1">
        <w:rPr>
          <w:rFonts w:ascii="Verdana" w:hAnsi="Verdana"/>
          <w:i/>
          <w:iCs/>
          <w:color w:val="000000"/>
          <w:sz w:val="16"/>
          <w:szCs w:val="16"/>
        </w:rPr>
        <w:t>Swindling (</w:t>
      </w:r>
      <w:proofErr w:type="spellStart"/>
      <w:r w:rsidRPr="006A7FF1">
        <w:rPr>
          <w:rFonts w:ascii="Verdana" w:hAnsi="Verdana"/>
          <w:i/>
          <w:iCs/>
          <w:color w:val="000000"/>
          <w:sz w:val="16"/>
          <w:szCs w:val="16"/>
        </w:rPr>
        <w:t>estafa</w:t>
      </w:r>
      <w:proofErr w:type="spellEnd"/>
      <w:r w:rsidRPr="006A7FF1">
        <w:rPr>
          <w:rFonts w:ascii="Verdana" w:hAnsi="Verdana"/>
          <w:i/>
          <w:iCs/>
          <w:color w:val="000000"/>
          <w:sz w:val="16"/>
          <w:szCs w:val="16"/>
        </w:rPr>
        <w:t>)</w:t>
      </w:r>
      <w:r w:rsidRPr="006A7FF1">
        <w:rPr>
          <w:rFonts w:ascii="Verdana" w:hAnsi="Verdana"/>
          <w:color w:val="000000"/>
          <w:sz w:val="16"/>
          <w:szCs w:val="16"/>
        </w:rPr>
        <w:t xml:space="preserve">. – Any person who shall defraud another by any of the means mentioned </w:t>
      </w:r>
      <w:proofErr w:type="spellStart"/>
      <w:r w:rsidRPr="006A7FF1">
        <w:rPr>
          <w:rFonts w:ascii="Verdana" w:hAnsi="Verdana"/>
          <w:color w:val="000000"/>
          <w:sz w:val="16"/>
          <w:szCs w:val="16"/>
        </w:rPr>
        <w:t>hereinbelow</w:t>
      </w:r>
      <w:proofErr w:type="spellEnd"/>
      <w:r w:rsidRPr="006A7FF1">
        <w:rPr>
          <w:rFonts w:ascii="Verdana" w:hAnsi="Verdana"/>
          <w:color w:val="000000"/>
          <w:sz w:val="16"/>
          <w:szCs w:val="16"/>
        </w:rPr>
        <w:t xml:space="preserve"> shall be punished by:</w:t>
      </w:r>
    </w:p>
    <w:p w:rsidR="006A7FF1" w:rsidRPr="006A7FF1" w:rsidRDefault="006A7FF1" w:rsidP="006A7FF1">
      <w:pPr>
        <w:pStyle w:val="NormalWeb"/>
        <w:jc w:val="center"/>
        <w:rPr>
          <w:rFonts w:ascii="Verdana" w:hAnsi="Verdana"/>
          <w:color w:val="000000"/>
          <w:sz w:val="16"/>
          <w:szCs w:val="16"/>
        </w:rPr>
      </w:pPr>
      <w:r w:rsidRPr="006A7FF1">
        <w:rPr>
          <w:rFonts w:ascii="Verdana" w:hAnsi="Verdana"/>
          <w:color w:val="000000"/>
          <w:sz w:val="16"/>
          <w:szCs w:val="16"/>
        </w:rPr>
        <w:t>. . .</w:t>
      </w:r>
    </w:p>
    <w:p w:rsidR="006A7FF1" w:rsidRPr="006A7FF1" w:rsidRDefault="006A7FF1" w:rsidP="006A7FF1">
      <w:pPr>
        <w:rPr>
          <w:rFonts w:ascii="Verdana" w:hAnsi="Verdana"/>
          <w:color w:val="000000"/>
          <w:sz w:val="16"/>
          <w:szCs w:val="16"/>
        </w:rPr>
      </w:pPr>
      <w:r w:rsidRPr="006A7FF1">
        <w:rPr>
          <w:rFonts w:ascii="Verdana" w:hAnsi="Verdana"/>
          <w:color w:val="000000"/>
          <w:sz w:val="16"/>
          <w:szCs w:val="16"/>
        </w:rPr>
        <w:t>1.         With unfaithfulness or abuse of confidence, namely:</w:t>
      </w:r>
    </w:p>
    <w:p w:rsidR="006A7FF1" w:rsidRPr="006A7FF1" w:rsidRDefault="006A7FF1" w:rsidP="006A7FF1">
      <w:pPr>
        <w:pStyle w:val="NormalWeb"/>
        <w:jc w:val="center"/>
        <w:rPr>
          <w:rFonts w:ascii="Verdana" w:hAnsi="Verdana"/>
          <w:color w:val="000000"/>
          <w:sz w:val="16"/>
          <w:szCs w:val="16"/>
        </w:rPr>
      </w:pPr>
      <w:r w:rsidRPr="006A7FF1">
        <w:rPr>
          <w:rFonts w:ascii="Verdana" w:hAnsi="Verdana"/>
          <w:color w:val="000000"/>
          <w:sz w:val="16"/>
          <w:szCs w:val="16"/>
        </w:rPr>
        <w:t>. . .</w:t>
      </w:r>
    </w:p>
    <w:p w:rsidR="006A7FF1" w:rsidRPr="006A7FF1" w:rsidRDefault="006A7FF1" w:rsidP="006A7FF1">
      <w:pPr>
        <w:rPr>
          <w:rFonts w:ascii="Verdana" w:hAnsi="Verdana"/>
          <w:color w:val="000000"/>
          <w:sz w:val="16"/>
          <w:szCs w:val="16"/>
        </w:rPr>
      </w:pPr>
      <w:r w:rsidRPr="006A7FF1">
        <w:rPr>
          <w:rFonts w:ascii="Verdana" w:hAnsi="Verdana"/>
          <w:color w:val="000000"/>
          <w:sz w:val="16"/>
          <w:szCs w:val="16"/>
        </w:rPr>
        <w:t>(b) By misappropriating or converting, to the prejudice of another, money, goods or any other personal property received by the offender in trust, or on commission, or for administration, or under any other obligation involving the duty to make delivery of, or to return the same, even though such obligation be totally or partially guaranteed by a bond; or by denying having received such money, goods, or other property;</w:t>
      </w:r>
    </w:p>
    <w:p w:rsidR="006A7FF1" w:rsidRPr="006A7FF1" w:rsidRDefault="006A7FF1" w:rsidP="006A7FF1">
      <w:pPr>
        <w:pStyle w:val="NormalWeb"/>
        <w:jc w:val="center"/>
        <w:rPr>
          <w:rFonts w:ascii="Verdana" w:hAnsi="Verdana"/>
          <w:color w:val="000000"/>
          <w:sz w:val="16"/>
          <w:szCs w:val="16"/>
        </w:rPr>
      </w:pPr>
      <w:r w:rsidRPr="006A7FF1">
        <w:rPr>
          <w:rFonts w:ascii="Verdana" w:hAnsi="Verdana"/>
          <w:color w:val="000000"/>
          <w:sz w:val="16"/>
          <w:szCs w:val="16"/>
        </w:rPr>
        <w:t>. . .</w:t>
      </w:r>
    </w:p>
    <w:p w:rsidR="006A7FF1" w:rsidRPr="006A7FF1" w:rsidRDefault="006A7FF1" w:rsidP="006A7FF1">
      <w:pPr>
        <w:rPr>
          <w:rFonts w:ascii="Verdana" w:hAnsi="Verdana"/>
          <w:color w:val="000000"/>
          <w:sz w:val="16"/>
          <w:szCs w:val="16"/>
        </w:rPr>
      </w:pPr>
      <w:r w:rsidRPr="006A7FF1">
        <w:rPr>
          <w:rFonts w:ascii="Verdana" w:hAnsi="Verdana"/>
          <w:color w:val="FF0000"/>
          <w:sz w:val="16"/>
          <w:szCs w:val="16"/>
          <w:vertAlign w:val="superscript"/>
        </w:rPr>
        <w:lastRenderedPageBreak/>
        <w:t>[3]</w:t>
      </w:r>
      <w:r w:rsidRPr="006A7FF1">
        <w:rPr>
          <w:rFonts w:ascii="Verdana" w:hAnsi="Verdana"/>
          <w:color w:val="000000"/>
          <w:sz w:val="16"/>
          <w:szCs w:val="16"/>
        </w:rPr>
        <w:t> Records, pp. 38-39.</w:t>
      </w:r>
      <w:r w:rsidRPr="006A7FF1">
        <w:rPr>
          <w:rFonts w:ascii="Verdana" w:hAnsi="Verdana"/>
          <w:color w:val="000000"/>
          <w:sz w:val="16"/>
          <w:szCs w:val="16"/>
        </w:rPr>
        <w:br/>
      </w:r>
      <w:r w:rsidRPr="006A7FF1">
        <w:rPr>
          <w:rFonts w:ascii="Verdana" w:hAnsi="Verdana"/>
          <w:color w:val="000000"/>
          <w:sz w:val="16"/>
          <w:szCs w:val="16"/>
        </w:rPr>
        <w:br/>
      </w:r>
      <w:r w:rsidRPr="006A7FF1">
        <w:rPr>
          <w:rFonts w:ascii="Verdana" w:hAnsi="Verdana"/>
          <w:color w:val="FF0000"/>
          <w:sz w:val="16"/>
          <w:szCs w:val="16"/>
          <w:vertAlign w:val="superscript"/>
        </w:rPr>
        <w:t>[4]</w:t>
      </w:r>
      <w:r w:rsidRPr="006A7FF1">
        <w:rPr>
          <w:rFonts w:ascii="Verdana" w:hAnsi="Verdana"/>
          <w:color w:val="000000"/>
          <w:sz w:val="16"/>
          <w:szCs w:val="16"/>
        </w:rPr>
        <w:t> </w:t>
      </w:r>
      <w:r w:rsidRPr="006A7FF1">
        <w:rPr>
          <w:rFonts w:ascii="Verdana" w:hAnsi="Verdana"/>
          <w:i/>
          <w:iCs/>
          <w:color w:val="000000"/>
          <w:sz w:val="16"/>
          <w:szCs w:val="16"/>
        </w:rPr>
        <w:t>Id.</w:t>
      </w:r>
      <w:r w:rsidRPr="006A7FF1">
        <w:rPr>
          <w:rFonts w:ascii="Verdana" w:hAnsi="Verdana"/>
          <w:color w:val="000000"/>
          <w:sz w:val="16"/>
          <w:szCs w:val="16"/>
        </w:rPr>
        <w:t> at 175</w:t>
      </w:r>
      <w:r w:rsidRPr="006A7FF1">
        <w:rPr>
          <w:rFonts w:ascii="Verdana" w:hAnsi="Verdana"/>
          <w:color w:val="000000"/>
          <w:sz w:val="16"/>
          <w:szCs w:val="16"/>
        </w:rPr>
        <w:br/>
      </w:r>
      <w:r w:rsidRPr="006A7FF1">
        <w:rPr>
          <w:rFonts w:ascii="Verdana" w:hAnsi="Verdana"/>
          <w:color w:val="000000"/>
          <w:sz w:val="16"/>
          <w:szCs w:val="16"/>
        </w:rPr>
        <w:br/>
      </w:r>
      <w:r w:rsidRPr="006A7FF1">
        <w:rPr>
          <w:rFonts w:ascii="Verdana" w:hAnsi="Verdana"/>
          <w:color w:val="FF0000"/>
          <w:sz w:val="16"/>
          <w:szCs w:val="16"/>
          <w:vertAlign w:val="superscript"/>
        </w:rPr>
        <w:t>[5]</w:t>
      </w:r>
      <w:r w:rsidRPr="006A7FF1">
        <w:rPr>
          <w:rFonts w:ascii="Verdana" w:hAnsi="Verdana"/>
          <w:color w:val="000000"/>
          <w:sz w:val="16"/>
          <w:szCs w:val="16"/>
        </w:rPr>
        <w:t> </w:t>
      </w:r>
      <w:r w:rsidRPr="006A7FF1">
        <w:rPr>
          <w:rFonts w:ascii="Verdana" w:hAnsi="Verdana"/>
          <w:i/>
          <w:iCs/>
          <w:color w:val="000000"/>
          <w:sz w:val="16"/>
          <w:szCs w:val="16"/>
        </w:rPr>
        <w:t>Id.</w:t>
      </w:r>
      <w:r w:rsidRPr="006A7FF1">
        <w:rPr>
          <w:rFonts w:ascii="Verdana" w:hAnsi="Verdana"/>
          <w:color w:val="000000"/>
          <w:sz w:val="16"/>
          <w:szCs w:val="16"/>
        </w:rPr>
        <w:t> at 177-178.</w:t>
      </w:r>
      <w:r w:rsidRPr="006A7FF1">
        <w:rPr>
          <w:rFonts w:ascii="Verdana" w:hAnsi="Verdana"/>
          <w:color w:val="000000"/>
          <w:sz w:val="16"/>
          <w:szCs w:val="16"/>
        </w:rPr>
        <w:br/>
      </w:r>
      <w:r w:rsidRPr="006A7FF1">
        <w:rPr>
          <w:rFonts w:ascii="Verdana" w:hAnsi="Verdana"/>
          <w:color w:val="000000"/>
          <w:sz w:val="16"/>
          <w:szCs w:val="16"/>
        </w:rPr>
        <w:br/>
      </w:r>
      <w:r w:rsidRPr="006A7FF1">
        <w:rPr>
          <w:rFonts w:ascii="Verdana" w:hAnsi="Verdana"/>
          <w:color w:val="FF0000"/>
          <w:sz w:val="16"/>
          <w:szCs w:val="16"/>
          <w:vertAlign w:val="superscript"/>
        </w:rPr>
        <w:t>[6]</w:t>
      </w:r>
      <w:r w:rsidRPr="006A7FF1">
        <w:rPr>
          <w:rFonts w:ascii="Verdana" w:hAnsi="Verdana"/>
          <w:color w:val="000000"/>
          <w:sz w:val="16"/>
          <w:szCs w:val="16"/>
        </w:rPr>
        <w:t> </w:t>
      </w:r>
      <w:r w:rsidRPr="006A7FF1">
        <w:rPr>
          <w:rFonts w:ascii="Verdana" w:hAnsi="Verdana"/>
          <w:i/>
          <w:iCs/>
          <w:color w:val="000000"/>
          <w:sz w:val="16"/>
          <w:szCs w:val="16"/>
        </w:rPr>
        <w:t>Id.</w:t>
      </w:r>
      <w:r w:rsidRPr="006A7FF1">
        <w:rPr>
          <w:rFonts w:ascii="Verdana" w:hAnsi="Verdana"/>
          <w:color w:val="000000"/>
          <w:sz w:val="16"/>
          <w:szCs w:val="16"/>
        </w:rPr>
        <w:t> at 180.</w:t>
      </w:r>
      <w:r w:rsidRPr="006A7FF1">
        <w:rPr>
          <w:rFonts w:ascii="Verdana" w:hAnsi="Verdana"/>
          <w:color w:val="000000"/>
          <w:sz w:val="16"/>
          <w:szCs w:val="16"/>
        </w:rPr>
        <w:br/>
      </w:r>
      <w:r w:rsidRPr="006A7FF1">
        <w:rPr>
          <w:rFonts w:ascii="Verdana" w:hAnsi="Verdana"/>
          <w:color w:val="000000"/>
          <w:sz w:val="16"/>
          <w:szCs w:val="16"/>
        </w:rPr>
        <w:br/>
      </w:r>
      <w:r w:rsidRPr="006A7FF1">
        <w:rPr>
          <w:rFonts w:ascii="Verdana" w:hAnsi="Verdana"/>
          <w:color w:val="FF0000"/>
          <w:sz w:val="16"/>
          <w:szCs w:val="16"/>
          <w:vertAlign w:val="superscript"/>
        </w:rPr>
        <w:t>[7]</w:t>
      </w:r>
      <w:r w:rsidRPr="006A7FF1">
        <w:rPr>
          <w:rFonts w:ascii="Verdana" w:hAnsi="Verdana"/>
          <w:color w:val="000000"/>
          <w:sz w:val="16"/>
          <w:szCs w:val="16"/>
        </w:rPr>
        <w:t> </w:t>
      </w:r>
      <w:r w:rsidRPr="006A7FF1">
        <w:rPr>
          <w:rFonts w:ascii="Verdana" w:hAnsi="Verdana"/>
          <w:i/>
          <w:iCs/>
          <w:color w:val="000000"/>
          <w:sz w:val="16"/>
          <w:szCs w:val="16"/>
        </w:rPr>
        <w:t>Id.</w:t>
      </w:r>
      <w:r w:rsidRPr="006A7FF1">
        <w:rPr>
          <w:rFonts w:ascii="Verdana" w:hAnsi="Verdana"/>
          <w:color w:val="000000"/>
          <w:sz w:val="16"/>
          <w:szCs w:val="16"/>
        </w:rPr>
        <w:t> at 200-201.</w:t>
      </w:r>
      <w:r w:rsidRPr="006A7FF1">
        <w:rPr>
          <w:rFonts w:ascii="Verdana" w:hAnsi="Verdana"/>
          <w:color w:val="000000"/>
          <w:sz w:val="16"/>
          <w:szCs w:val="16"/>
        </w:rPr>
        <w:br/>
      </w:r>
      <w:r w:rsidRPr="006A7FF1">
        <w:rPr>
          <w:rFonts w:ascii="Verdana" w:hAnsi="Verdana"/>
          <w:color w:val="000000"/>
          <w:sz w:val="16"/>
          <w:szCs w:val="16"/>
        </w:rPr>
        <w:br/>
      </w:r>
      <w:r w:rsidRPr="006A7FF1">
        <w:rPr>
          <w:rFonts w:ascii="Verdana" w:hAnsi="Verdana"/>
          <w:color w:val="FF0000"/>
          <w:sz w:val="16"/>
          <w:szCs w:val="16"/>
          <w:vertAlign w:val="superscript"/>
        </w:rPr>
        <w:t>[8]</w:t>
      </w:r>
      <w:r w:rsidRPr="006A7FF1">
        <w:rPr>
          <w:rFonts w:ascii="Verdana" w:hAnsi="Verdana"/>
          <w:color w:val="000000"/>
          <w:sz w:val="16"/>
          <w:szCs w:val="16"/>
        </w:rPr>
        <w:t> Rollo, pp. 7-8.</w:t>
      </w:r>
      <w:r w:rsidRPr="006A7FF1">
        <w:rPr>
          <w:rFonts w:ascii="Verdana" w:hAnsi="Verdana"/>
          <w:color w:val="000000"/>
          <w:sz w:val="16"/>
          <w:szCs w:val="16"/>
        </w:rPr>
        <w:br/>
      </w:r>
      <w:r w:rsidRPr="006A7FF1">
        <w:rPr>
          <w:rFonts w:ascii="Verdana" w:hAnsi="Verdana"/>
          <w:color w:val="000000"/>
          <w:sz w:val="16"/>
          <w:szCs w:val="16"/>
        </w:rPr>
        <w:br/>
      </w:r>
      <w:r w:rsidRPr="006A7FF1">
        <w:rPr>
          <w:rFonts w:ascii="Verdana" w:hAnsi="Verdana"/>
          <w:color w:val="FF0000"/>
          <w:sz w:val="16"/>
          <w:szCs w:val="16"/>
          <w:vertAlign w:val="superscript"/>
        </w:rPr>
        <w:t>[9]</w:t>
      </w:r>
      <w:r w:rsidRPr="006A7FF1">
        <w:rPr>
          <w:rFonts w:ascii="Verdana" w:hAnsi="Verdana"/>
          <w:color w:val="000000"/>
          <w:sz w:val="16"/>
          <w:szCs w:val="16"/>
        </w:rPr>
        <w:t> </w:t>
      </w:r>
      <w:proofErr w:type="spellStart"/>
      <w:r w:rsidRPr="006A7FF1">
        <w:rPr>
          <w:rFonts w:ascii="Verdana" w:hAnsi="Verdana"/>
          <w:color w:val="000000"/>
          <w:sz w:val="16"/>
          <w:szCs w:val="16"/>
        </w:rPr>
        <w:t>Filadams</w:t>
      </w:r>
      <w:proofErr w:type="spellEnd"/>
      <w:r w:rsidRPr="006A7FF1">
        <w:rPr>
          <w:rFonts w:ascii="Verdana" w:hAnsi="Verdana"/>
          <w:color w:val="000000"/>
          <w:sz w:val="16"/>
          <w:szCs w:val="16"/>
        </w:rPr>
        <w:t xml:space="preserve"> </w:t>
      </w:r>
      <w:proofErr w:type="spellStart"/>
      <w:r w:rsidRPr="006A7FF1">
        <w:rPr>
          <w:rFonts w:ascii="Verdana" w:hAnsi="Verdana"/>
          <w:color w:val="000000"/>
          <w:sz w:val="16"/>
          <w:szCs w:val="16"/>
        </w:rPr>
        <w:t>Pharma</w:t>
      </w:r>
      <w:proofErr w:type="spellEnd"/>
      <w:r w:rsidRPr="006A7FF1">
        <w:rPr>
          <w:rFonts w:ascii="Verdana" w:hAnsi="Verdana"/>
          <w:color w:val="000000"/>
          <w:sz w:val="16"/>
          <w:szCs w:val="16"/>
        </w:rPr>
        <w:t>, Inc. v. Court of Appeals, G.R. No. 132422, 30 March 2004, 426 SCRA 460, 467-468.</w:t>
      </w:r>
      <w:r w:rsidRPr="006A7FF1">
        <w:rPr>
          <w:rFonts w:ascii="Verdana" w:hAnsi="Verdana"/>
          <w:color w:val="000000"/>
          <w:sz w:val="16"/>
          <w:szCs w:val="16"/>
        </w:rPr>
        <w:br/>
      </w:r>
      <w:r w:rsidRPr="006A7FF1">
        <w:rPr>
          <w:rFonts w:ascii="Verdana" w:hAnsi="Verdana"/>
          <w:color w:val="000000"/>
          <w:sz w:val="16"/>
          <w:szCs w:val="16"/>
        </w:rPr>
        <w:br/>
      </w:r>
      <w:r w:rsidRPr="006A7FF1">
        <w:rPr>
          <w:rFonts w:ascii="Verdana" w:hAnsi="Verdana"/>
          <w:color w:val="FF0000"/>
          <w:sz w:val="16"/>
          <w:szCs w:val="16"/>
          <w:vertAlign w:val="superscript"/>
        </w:rPr>
        <w:t>[10]</w:t>
      </w:r>
      <w:r w:rsidRPr="006A7FF1">
        <w:rPr>
          <w:rFonts w:ascii="Verdana" w:hAnsi="Verdana"/>
          <w:color w:val="000000"/>
          <w:sz w:val="16"/>
          <w:szCs w:val="16"/>
        </w:rPr>
        <w:t xml:space="preserve"> TSN, 25 September 1995, p. 4 (Domingo </w:t>
      </w:r>
      <w:proofErr w:type="gramStart"/>
      <w:r w:rsidRPr="006A7FF1">
        <w:rPr>
          <w:rFonts w:ascii="Verdana" w:hAnsi="Verdana"/>
          <w:color w:val="000000"/>
          <w:sz w:val="16"/>
          <w:szCs w:val="16"/>
        </w:rPr>
        <w:t>del</w:t>
      </w:r>
      <w:proofErr w:type="gramEnd"/>
      <w:r w:rsidRPr="006A7FF1">
        <w:rPr>
          <w:rFonts w:ascii="Verdana" w:hAnsi="Verdana"/>
          <w:color w:val="000000"/>
          <w:sz w:val="16"/>
          <w:szCs w:val="16"/>
        </w:rPr>
        <w:t xml:space="preserve"> </w:t>
      </w:r>
      <w:proofErr w:type="spellStart"/>
      <w:r w:rsidRPr="006A7FF1">
        <w:rPr>
          <w:rFonts w:ascii="Verdana" w:hAnsi="Verdana"/>
          <w:color w:val="000000"/>
          <w:sz w:val="16"/>
          <w:szCs w:val="16"/>
        </w:rPr>
        <w:t>Mundo</w:t>
      </w:r>
      <w:proofErr w:type="spellEnd"/>
      <w:r w:rsidRPr="006A7FF1">
        <w:rPr>
          <w:rFonts w:ascii="Verdana" w:hAnsi="Verdana"/>
          <w:color w:val="000000"/>
          <w:sz w:val="16"/>
          <w:szCs w:val="16"/>
        </w:rPr>
        <w:t>).</w:t>
      </w:r>
      <w:r w:rsidRPr="006A7FF1">
        <w:rPr>
          <w:rFonts w:ascii="Verdana" w:hAnsi="Verdana"/>
          <w:color w:val="000000"/>
          <w:sz w:val="16"/>
          <w:szCs w:val="16"/>
        </w:rPr>
        <w:br/>
      </w:r>
      <w:r w:rsidRPr="006A7FF1">
        <w:rPr>
          <w:rFonts w:ascii="Verdana" w:hAnsi="Verdana"/>
          <w:color w:val="000000"/>
          <w:sz w:val="16"/>
          <w:szCs w:val="16"/>
        </w:rPr>
        <w:br/>
      </w:r>
      <w:r w:rsidRPr="006A7FF1">
        <w:rPr>
          <w:rFonts w:ascii="Verdana" w:hAnsi="Verdana"/>
          <w:color w:val="FF0000"/>
          <w:sz w:val="16"/>
          <w:szCs w:val="16"/>
          <w:vertAlign w:val="superscript"/>
        </w:rPr>
        <w:t>[11]</w:t>
      </w:r>
      <w:r w:rsidRPr="006A7FF1">
        <w:rPr>
          <w:rFonts w:ascii="Verdana" w:hAnsi="Verdana"/>
          <w:color w:val="000000"/>
          <w:sz w:val="16"/>
          <w:szCs w:val="16"/>
        </w:rPr>
        <w:t> </w:t>
      </w:r>
      <w:r w:rsidRPr="006A7FF1">
        <w:rPr>
          <w:rFonts w:ascii="Verdana" w:hAnsi="Verdana"/>
          <w:i/>
          <w:iCs/>
          <w:color w:val="000000"/>
          <w:sz w:val="16"/>
          <w:szCs w:val="16"/>
        </w:rPr>
        <w:t>Id.</w:t>
      </w:r>
      <w:r w:rsidRPr="006A7FF1">
        <w:rPr>
          <w:rFonts w:ascii="Verdana" w:hAnsi="Verdana"/>
          <w:color w:val="000000"/>
          <w:sz w:val="16"/>
          <w:szCs w:val="16"/>
        </w:rPr>
        <w:t> at 8.</w:t>
      </w:r>
      <w:r w:rsidRPr="006A7FF1">
        <w:rPr>
          <w:rFonts w:ascii="Verdana" w:hAnsi="Verdana"/>
          <w:color w:val="000000"/>
          <w:sz w:val="16"/>
          <w:szCs w:val="16"/>
        </w:rPr>
        <w:br/>
      </w:r>
      <w:r w:rsidRPr="006A7FF1">
        <w:rPr>
          <w:rFonts w:ascii="Verdana" w:hAnsi="Verdana"/>
          <w:color w:val="000000"/>
          <w:sz w:val="16"/>
          <w:szCs w:val="16"/>
        </w:rPr>
        <w:br/>
      </w:r>
      <w:r w:rsidRPr="006A7FF1">
        <w:rPr>
          <w:rFonts w:ascii="Verdana" w:hAnsi="Verdana"/>
          <w:color w:val="FF0000"/>
          <w:sz w:val="16"/>
          <w:szCs w:val="16"/>
          <w:vertAlign w:val="superscript"/>
        </w:rPr>
        <w:t>[12]</w:t>
      </w:r>
      <w:r w:rsidRPr="006A7FF1">
        <w:rPr>
          <w:rFonts w:ascii="Verdana" w:hAnsi="Verdana"/>
          <w:color w:val="000000"/>
          <w:sz w:val="16"/>
          <w:szCs w:val="16"/>
        </w:rPr>
        <w:t xml:space="preserve"> Ty v. </w:t>
      </w:r>
      <w:proofErr w:type="gramStart"/>
      <w:r w:rsidRPr="006A7FF1">
        <w:rPr>
          <w:rFonts w:ascii="Verdana" w:hAnsi="Verdana"/>
          <w:color w:val="000000"/>
          <w:sz w:val="16"/>
          <w:szCs w:val="16"/>
        </w:rPr>
        <w:t>People, G.R. No. 149275, 27 September 2004, 439 SCRA 220, 228-229; </w:t>
      </w:r>
      <w:r w:rsidRPr="006A7FF1">
        <w:rPr>
          <w:rFonts w:ascii="Verdana" w:hAnsi="Verdana"/>
          <w:i/>
          <w:iCs/>
          <w:color w:val="000000"/>
          <w:sz w:val="16"/>
          <w:szCs w:val="16"/>
        </w:rPr>
        <w:t>See</w:t>
      </w:r>
      <w:r w:rsidRPr="006A7FF1">
        <w:rPr>
          <w:rFonts w:ascii="Verdana" w:hAnsi="Verdana"/>
          <w:color w:val="000000"/>
          <w:sz w:val="16"/>
          <w:szCs w:val="16"/>
        </w:rPr>
        <w:t> Lim v.</w:t>
      </w:r>
      <w:proofErr w:type="gramEnd"/>
      <w:r w:rsidRPr="006A7FF1">
        <w:rPr>
          <w:rFonts w:ascii="Verdana" w:hAnsi="Verdana"/>
          <w:color w:val="000000"/>
          <w:sz w:val="16"/>
          <w:szCs w:val="16"/>
        </w:rPr>
        <w:t xml:space="preserve"> </w:t>
      </w:r>
      <w:proofErr w:type="gramStart"/>
      <w:r w:rsidRPr="006A7FF1">
        <w:rPr>
          <w:rFonts w:ascii="Verdana" w:hAnsi="Verdana"/>
          <w:color w:val="000000"/>
          <w:sz w:val="16"/>
          <w:szCs w:val="16"/>
        </w:rPr>
        <w:t>People, G.R. No. 143231, 26 October 2001, 368 SCRA 436, 441.</w:t>
      </w:r>
      <w:proofErr w:type="gramEnd"/>
      <w:r w:rsidRPr="006A7FF1">
        <w:rPr>
          <w:rFonts w:ascii="Verdana" w:hAnsi="Verdana"/>
          <w:color w:val="000000"/>
          <w:sz w:val="16"/>
          <w:szCs w:val="16"/>
        </w:rPr>
        <w:br/>
      </w:r>
      <w:r w:rsidRPr="006A7FF1">
        <w:rPr>
          <w:rFonts w:ascii="Verdana" w:hAnsi="Verdana"/>
          <w:color w:val="000000"/>
          <w:sz w:val="16"/>
          <w:szCs w:val="16"/>
        </w:rPr>
        <w:br/>
      </w:r>
      <w:r w:rsidRPr="006A7FF1">
        <w:rPr>
          <w:rFonts w:ascii="Verdana" w:hAnsi="Verdana"/>
          <w:color w:val="FF0000"/>
          <w:sz w:val="16"/>
          <w:szCs w:val="16"/>
          <w:vertAlign w:val="superscript"/>
        </w:rPr>
        <w:t>[13]</w:t>
      </w:r>
      <w:r w:rsidRPr="006A7FF1">
        <w:rPr>
          <w:rFonts w:ascii="Verdana" w:hAnsi="Verdana"/>
          <w:color w:val="000000"/>
          <w:sz w:val="16"/>
          <w:szCs w:val="16"/>
        </w:rPr>
        <w:t> Rollo, pp. 68-71.</w:t>
      </w:r>
      <w:r w:rsidRPr="006A7FF1">
        <w:rPr>
          <w:rFonts w:ascii="Verdana" w:hAnsi="Verdana"/>
          <w:color w:val="000000"/>
          <w:sz w:val="16"/>
          <w:szCs w:val="16"/>
        </w:rPr>
        <w:br/>
      </w:r>
      <w:r w:rsidRPr="006A7FF1">
        <w:rPr>
          <w:rFonts w:ascii="Verdana" w:hAnsi="Verdana"/>
          <w:color w:val="000000"/>
          <w:sz w:val="16"/>
          <w:szCs w:val="16"/>
        </w:rPr>
        <w:br/>
      </w:r>
      <w:r w:rsidRPr="006A7FF1">
        <w:rPr>
          <w:rFonts w:ascii="Verdana" w:hAnsi="Verdana"/>
          <w:color w:val="FF0000"/>
          <w:sz w:val="16"/>
          <w:szCs w:val="16"/>
          <w:vertAlign w:val="superscript"/>
        </w:rPr>
        <w:t>[14]</w:t>
      </w:r>
      <w:r w:rsidRPr="006A7FF1">
        <w:rPr>
          <w:rFonts w:ascii="Verdana" w:hAnsi="Verdana"/>
          <w:color w:val="000000"/>
          <w:sz w:val="16"/>
          <w:szCs w:val="16"/>
        </w:rPr>
        <w:t> JOAQUIN G. BERNAS, S.J., THE 1987 CONSTITUTION OF THE REPUBLIC OF THE PHILIPPINES: A COMMENTARY 502 (2003 ed.); </w:t>
      </w:r>
      <w:r w:rsidRPr="006A7FF1">
        <w:rPr>
          <w:rFonts w:ascii="Verdana" w:hAnsi="Verdana"/>
          <w:i/>
          <w:iCs/>
          <w:color w:val="000000"/>
          <w:sz w:val="16"/>
          <w:szCs w:val="16"/>
        </w:rPr>
        <w:t>See</w:t>
      </w:r>
      <w:r w:rsidRPr="006A7FF1">
        <w:rPr>
          <w:rFonts w:ascii="Verdana" w:hAnsi="Verdana"/>
          <w:color w:val="000000"/>
          <w:sz w:val="16"/>
          <w:szCs w:val="16"/>
        </w:rPr>
        <w:t> </w:t>
      </w:r>
      <w:proofErr w:type="spellStart"/>
      <w:r w:rsidRPr="006A7FF1">
        <w:rPr>
          <w:rFonts w:ascii="Verdana" w:hAnsi="Verdana"/>
          <w:color w:val="000000"/>
          <w:sz w:val="16"/>
          <w:szCs w:val="16"/>
        </w:rPr>
        <w:t>Sayson</w:t>
      </w:r>
      <w:proofErr w:type="spellEnd"/>
      <w:r w:rsidRPr="006A7FF1">
        <w:rPr>
          <w:rFonts w:ascii="Verdana" w:hAnsi="Verdana"/>
          <w:color w:val="000000"/>
          <w:sz w:val="16"/>
          <w:szCs w:val="16"/>
        </w:rPr>
        <w:t xml:space="preserve"> v. People, No. L-51745, 28 October 1988, 166 SCRA 680, 690-691; People v. </w:t>
      </w:r>
      <w:proofErr w:type="spellStart"/>
      <w:r w:rsidRPr="006A7FF1">
        <w:rPr>
          <w:rFonts w:ascii="Verdana" w:hAnsi="Verdana"/>
          <w:color w:val="000000"/>
          <w:sz w:val="16"/>
          <w:szCs w:val="16"/>
        </w:rPr>
        <w:t>Serzo</w:t>
      </w:r>
      <w:proofErr w:type="spellEnd"/>
      <w:r w:rsidRPr="006A7FF1">
        <w:rPr>
          <w:rFonts w:ascii="Verdana" w:hAnsi="Verdana"/>
          <w:color w:val="000000"/>
          <w:sz w:val="16"/>
          <w:szCs w:val="16"/>
        </w:rPr>
        <w:t>, Jr., G.R. No. 118435, 20 June 1997, 274 SCRA 553, 567.</w:t>
      </w:r>
      <w:r w:rsidRPr="006A7FF1">
        <w:rPr>
          <w:rFonts w:ascii="Verdana" w:hAnsi="Verdana"/>
          <w:color w:val="000000"/>
          <w:sz w:val="16"/>
          <w:szCs w:val="16"/>
        </w:rPr>
        <w:br/>
      </w:r>
      <w:r w:rsidRPr="006A7FF1">
        <w:rPr>
          <w:rFonts w:ascii="Verdana" w:hAnsi="Verdana"/>
          <w:color w:val="000000"/>
          <w:sz w:val="16"/>
          <w:szCs w:val="16"/>
        </w:rPr>
        <w:br/>
      </w:r>
      <w:r w:rsidRPr="006A7FF1">
        <w:rPr>
          <w:rFonts w:ascii="Verdana" w:hAnsi="Verdana"/>
          <w:color w:val="FF0000"/>
          <w:sz w:val="16"/>
          <w:szCs w:val="16"/>
          <w:vertAlign w:val="superscript"/>
        </w:rPr>
        <w:t>[15]</w:t>
      </w:r>
      <w:r w:rsidRPr="006A7FF1">
        <w:rPr>
          <w:rFonts w:ascii="Verdana" w:hAnsi="Verdana"/>
          <w:color w:val="000000"/>
          <w:sz w:val="16"/>
          <w:szCs w:val="16"/>
        </w:rPr>
        <w:t> </w:t>
      </w:r>
      <w:proofErr w:type="spellStart"/>
      <w:r w:rsidRPr="006A7FF1">
        <w:rPr>
          <w:rFonts w:ascii="Verdana" w:hAnsi="Verdana"/>
          <w:color w:val="000000"/>
          <w:sz w:val="16"/>
          <w:szCs w:val="16"/>
        </w:rPr>
        <w:t>Sayson</w:t>
      </w:r>
      <w:proofErr w:type="spellEnd"/>
      <w:r w:rsidRPr="006A7FF1">
        <w:rPr>
          <w:rFonts w:ascii="Verdana" w:hAnsi="Verdana"/>
          <w:color w:val="000000"/>
          <w:sz w:val="16"/>
          <w:szCs w:val="16"/>
        </w:rPr>
        <w:t xml:space="preserve"> v. </w:t>
      </w:r>
      <w:proofErr w:type="gramStart"/>
      <w:r w:rsidRPr="006A7FF1">
        <w:rPr>
          <w:rFonts w:ascii="Verdana" w:hAnsi="Verdana"/>
          <w:color w:val="000000"/>
          <w:sz w:val="16"/>
          <w:szCs w:val="16"/>
        </w:rPr>
        <w:t>People, </w:t>
      </w:r>
      <w:r w:rsidRPr="006A7FF1">
        <w:rPr>
          <w:rFonts w:ascii="Verdana" w:hAnsi="Verdana"/>
          <w:i/>
          <w:iCs/>
          <w:color w:val="000000"/>
          <w:sz w:val="16"/>
          <w:szCs w:val="16"/>
        </w:rPr>
        <w:t>id.</w:t>
      </w:r>
      <w:proofErr w:type="gramEnd"/>
      <w:r w:rsidRPr="006A7FF1">
        <w:rPr>
          <w:rFonts w:ascii="Verdana" w:hAnsi="Verdana"/>
          <w:color w:val="000000"/>
          <w:sz w:val="16"/>
          <w:szCs w:val="16"/>
        </w:rPr>
        <w:t> </w:t>
      </w:r>
      <w:proofErr w:type="gramStart"/>
      <w:r w:rsidRPr="006A7FF1">
        <w:rPr>
          <w:rFonts w:ascii="Verdana" w:hAnsi="Verdana"/>
          <w:color w:val="000000"/>
          <w:sz w:val="16"/>
          <w:szCs w:val="16"/>
        </w:rPr>
        <w:t>at</w:t>
      </w:r>
      <w:proofErr w:type="gramEnd"/>
      <w:r w:rsidRPr="006A7FF1">
        <w:rPr>
          <w:rFonts w:ascii="Verdana" w:hAnsi="Verdana"/>
          <w:color w:val="000000"/>
          <w:sz w:val="16"/>
          <w:szCs w:val="16"/>
        </w:rPr>
        <w:t xml:space="preserve"> 691.</w:t>
      </w:r>
    </w:p>
    <w:p w:rsidR="0018460D" w:rsidRPr="006A7FF1" w:rsidRDefault="00193F8C" w:rsidP="006A7FF1"/>
    <w:sectPr w:rsidR="0018460D" w:rsidRPr="006A7FF1" w:rsidSect="00EF4144">
      <w:pgSz w:w="11907" w:h="16839" w:code="9"/>
      <w:pgMar w:top="1440" w:right="1440" w:bottom="1440" w:left="1985"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C4D6D"/>
    <w:rsid w:val="00182455"/>
    <w:rsid w:val="00193F8C"/>
    <w:rsid w:val="003C4D6D"/>
    <w:rsid w:val="006A7FF1"/>
    <w:rsid w:val="00833256"/>
    <w:rsid w:val="00AD1868"/>
    <w:rsid w:val="00DF721E"/>
    <w:rsid w:val="00EF4144"/>
  </w:rsids>
  <m:mathPr>
    <m:mathFont m:val="Cambria Math"/>
    <m:brkBin m:val="before"/>
    <m:brkBinSub m:val="--"/>
    <m:smallFrac m:val="0"/>
    <m:dispDef/>
    <m:lMargin m:val="0"/>
    <m:rMargin m:val="0"/>
    <m:defJc m:val="centerGroup"/>
    <m:wrapIndent m:val="1440"/>
    <m:intLim m:val="subSup"/>
    <m:naryLim m:val="undOvr"/>
  </m:mathPr>
  <w:themeFontLang w:val="en-P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PH"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link w:val="Heading2Char"/>
    <w:uiPriority w:val="9"/>
    <w:qFormat/>
    <w:rsid w:val="003C4D6D"/>
    <w:pPr>
      <w:spacing w:before="100" w:beforeAutospacing="1" w:after="100" w:afterAutospacing="1" w:line="240" w:lineRule="auto"/>
      <w:outlineLvl w:val="1"/>
    </w:pPr>
    <w:rPr>
      <w:rFonts w:ascii="Times New Roman" w:eastAsia="Times New Roman" w:hAnsi="Times New Roman" w:cs="Times New Roman"/>
      <w:b/>
      <w:bCs/>
      <w:sz w:val="36"/>
      <w:szCs w:val="36"/>
      <w:lang w:eastAsia="en-PH"/>
    </w:rPr>
  </w:style>
  <w:style w:type="paragraph" w:styleId="Heading3">
    <w:name w:val="heading 3"/>
    <w:basedOn w:val="Normal"/>
    <w:link w:val="Heading3Char"/>
    <w:uiPriority w:val="9"/>
    <w:qFormat/>
    <w:rsid w:val="003C4D6D"/>
    <w:pPr>
      <w:spacing w:before="100" w:beforeAutospacing="1" w:after="100" w:afterAutospacing="1" w:line="240" w:lineRule="auto"/>
      <w:outlineLvl w:val="2"/>
    </w:pPr>
    <w:rPr>
      <w:rFonts w:ascii="Times New Roman" w:eastAsia="Times New Roman" w:hAnsi="Times New Roman" w:cs="Times New Roman"/>
      <w:b/>
      <w:bCs/>
      <w:sz w:val="27"/>
      <w:szCs w:val="27"/>
      <w:lang w:eastAsia="en-PH"/>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3C4D6D"/>
    <w:rPr>
      <w:rFonts w:ascii="Times New Roman" w:eastAsia="Times New Roman" w:hAnsi="Times New Roman" w:cs="Times New Roman"/>
      <w:b/>
      <w:bCs/>
      <w:sz w:val="36"/>
      <w:szCs w:val="36"/>
      <w:lang w:eastAsia="en-PH"/>
    </w:rPr>
  </w:style>
  <w:style w:type="character" w:customStyle="1" w:styleId="Heading3Char">
    <w:name w:val="Heading 3 Char"/>
    <w:basedOn w:val="DefaultParagraphFont"/>
    <w:link w:val="Heading3"/>
    <w:uiPriority w:val="9"/>
    <w:rsid w:val="003C4D6D"/>
    <w:rPr>
      <w:rFonts w:ascii="Times New Roman" w:eastAsia="Times New Roman" w:hAnsi="Times New Roman" w:cs="Times New Roman"/>
      <w:b/>
      <w:bCs/>
      <w:sz w:val="27"/>
      <w:szCs w:val="27"/>
      <w:lang w:eastAsia="en-PH"/>
    </w:rPr>
  </w:style>
  <w:style w:type="paragraph" w:styleId="NormalWeb">
    <w:name w:val="Normal (Web)"/>
    <w:basedOn w:val="Normal"/>
    <w:uiPriority w:val="99"/>
    <w:semiHidden/>
    <w:unhideWhenUsed/>
    <w:rsid w:val="003C4D6D"/>
    <w:pPr>
      <w:spacing w:before="100" w:beforeAutospacing="1" w:after="100" w:afterAutospacing="1" w:line="240" w:lineRule="auto"/>
    </w:pPr>
    <w:rPr>
      <w:rFonts w:ascii="Times New Roman" w:eastAsia="Times New Roman" w:hAnsi="Times New Roman" w:cs="Times New Roman"/>
      <w:sz w:val="24"/>
      <w:szCs w:val="24"/>
      <w:lang w:eastAsia="en-PH"/>
    </w:rPr>
  </w:style>
  <w:style w:type="character" w:styleId="Strong">
    <w:name w:val="Strong"/>
    <w:basedOn w:val="DefaultParagraphFont"/>
    <w:uiPriority w:val="22"/>
    <w:qFormat/>
    <w:rsid w:val="003C4D6D"/>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PH"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link w:val="Heading2Char"/>
    <w:uiPriority w:val="9"/>
    <w:qFormat/>
    <w:rsid w:val="003C4D6D"/>
    <w:pPr>
      <w:spacing w:before="100" w:beforeAutospacing="1" w:after="100" w:afterAutospacing="1" w:line="240" w:lineRule="auto"/>
      <w:outlineLvl w:val="1"/>
    </w:pPr>
    <w:rPr>
      <w:rFonts w:ascii="Times New Roman" w:eastAsia="Times New Roman" w:hAnsi="Times New Roman" w:cs="Times New Roman"/>
      <w:b/>
      <w:bCs/>
      <w:sz w:val="36"/>
      <w:szCs w:val="36"/>
      <w:lang w:eastAsia="en-PH"/>
    </w:rPr>
  </w:style>
  <w:style w:type="paragraph" w:styleId="Heading3">
    <w:name w:val="heading 3"/>
    <w:basedOn w:val="Normal"/>
    <w:link w:val="Heading3Char"/>
    <w:uiPriority w:val="9"/>
    <w:qFormat/>
    <w:rsid w:val="003C4D6D"/>
    <w:pPr>
      <w:spacing w:before="100" w:beforeAutospacing="1" w:after="100" w:afterAutospacing="1" w:line="240" w:lineRule="auto"/>
      <w:outlineLvl w:val="2"/>
    </w:pPr>
    <w:rPr>
      <w:rFonts w:ascii="Times New Roman" w:eastAsia="Times New Roman" w:hAnsi="Times New Roman" w:cs="Times New Roman"/>
      <w:b/>
      <w:bCs/>
      <w:sz w:val="27"/>
      <w:szCs w:val="27"/>
      <w:lang w:eastAsia="en-PH"/>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3C4D6D"/>
    <w:rPr>
      <w:rFonts w:ascii="Times New Roman" w:eastAsia="Times New Roman" w:hAnsi="Times New Roman" w:cs="Times New Roman"/>
      <w:b/>
      <w:bCs/>
      <w:sz w:val="36"/>
      <w:szCs w:val="36"/>
      <w:lang w:eastAsia="en-PH"/>
    </w:rPr>
  </w:style>
  <w:style w:type="character" w:customStyle="1" w:styleId="Heading3Char">
    <w:name w:val="Heading 3 Char"/>
    <w:basedOn w:val="DefaultParagraphFont"/>
    <w:link w:val="Heading3"/>
    <w:uiPriority w:val="9"/>
    <w:rsid w:val="003C4D6D"/>
    <w:rPr>
      <w:rFonts w:ascii="Times New Roman" w:eastAsia="Times New Roman" w:hAnsi="Times New Roman" w:cs="Times New Roman"/>
      <w:b/>
      <w:bCs/>
      <w:sz w:val="27"/>
      <w:szCs w:val="27"/>
      <w:lang w:eastAsia="en-PH"/>
    </w:rPr>
  </w:style>
  <w:style w:type="paragraph" w:styleId="NormalWeb">
    <w:name w:val="Normal (Web)"/>
    <w:basedOn w:val="Normal"/>
    <w:uiPriority w:val="99"/>
    <w:semiHidden/>
    <w:unhideWhenUsed/>
    <w:rsid w:val="003C4D6D"/>
    <w:pPr>
      <w:spacing w:before="100" w:beforeAutospacing="1" w:after="100" w:afterAutospacing="1" w:line="240" w:lineRule="auto"/>
    </w:pPr>
    <w:rPr>
      <w:rFonts w:ascii="Times New Roman" w:eastAsia="Times New Roman" w:hAnsi="Times New Roman" w:cs="Times New Roman"/>
      <w:sz w:val="24"/>
      <w:szCs w:val="24"/>
      <w:lang w:eastAsia="en-PH"/>
    </w:rPr>
  </w:style>
  <w:style w:type="character" w:styleId="Strong">
    <w:name w:val="Strong"/>
    <w:basedOn w:val="DefaultParagraphFont"/>
    <w:uiPriority w:val="22"/>
    <w:qFormat/>
    <w:rsid w:val="003C4D6D"/>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0587881">
      <w:bodyDiv w:val="1"/>
      <w:marLeft w:val="0"/>
      <w:marRight w:val="0"/>
      <w:marTop w:val="0"/>
      <w:marBottom w:val="0"/>
      <w:divBdr>
        <w:top w:val="none" w:sz="0" w:space="0" w:color="auto"/>
        <w:left w:val="none" w:sz="0" w:space="0" w:color="auto"/>
        <w:bottom w:val="none" w:sz="0" w:space="0" w:color="auto"/>
        <w:right w:val="none" w:sz="0" w:space="0" w:color="auto"/>
      </w:divBdr>
      <w:divsChild>
        <w:div w:id="548759239">
          <w:marLeft w:val="0"/>
          <w:marRight w:val="0"/>
          <w:marTop w:val="0"/>
          <w:marBottom w:val="0"/>
          <w:divBdr>
            <w:top w:val="none" w:sz="0" w:space="0" w:color="auto"/>
            <w:left w:val="none" w:sz="0" w:space="0" w:color="auto"/>
            <w:bottom w:val="none" w:sz="0" w:space="0" w:color="auto"/>
            <w:right w:val="none" w:sz="0" w:space="0" w:color="auto"/>
          </w:divBdr>
        </w:div>
      </w:divsChild>
    </w:div>
    <w:div w:id="2009163646">
      <w:bodyDiv w:val="1"/>
      <w:marLeft w:val="0"/>
      <w:marRight w:val="0"/>
      <w:marTop w:val="0"/>
      <w:marBottom w:val="0"/>
      <w:divBdr>
        <w:top w:val="none" w:sz="0" w:space="0" w:color="auto"/>
        <w:left w:val="none" w:sz="0" w:space="0" w:color="auto"/>
        <w:bottom w:val="none" w:sz="0" w:space="0" w:color="auto"/>
        <w:right w:val="none" w:sz="0" w:space="0" w:color="auto"/>
      </w:divBdr>
      <w:divsChild>
        <w:div w:id="141573954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60</TotalTime>
  <Pages>7</Pages>
  <Words>2315</Words>
  <Characters>13201</Characters>
  <Application>Microsoft Office Word</Application>
  <DocSecurity>0</DocSecurity>
  <Lines>110</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15486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5</cp:revision>
  <dcterms:created xsi:type="dcterms:W3CDTF">2019-08-24T15:49:00Z</dcterms:created>
  <dcterms:modified xsi:type="dcterms:W3CDTF">2019-08-28T07:19:00Z</dcterms:modified>
</cp:coreProperties>
</file>