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83A" w:rsidRPr="000D330E" w:rsidRDefault="002C383A" w:rsidP="002C383A">
      <w:pPr>
        <w:pStyle w:val="NormalWeb"/>
        <w:shd w:val="clear" w:color="auto" w:fill="FFFFFF"/>
        <w:jc w:val="center"/>
        <w:rPr>
          <w:rFonts w:ascii="Arial" w:hAnsi="Arial" w:cs="Arial"/>
          <w:color w:val="262626" w:themeColor="text1" w:themeTint="D9"/>
          <w:sz w:val="21"/>
          <w:szCs w:val="21"/>
        </w:rPr>
      </w:pPr>
      <w:r w:rsidRPr="000D330E">
        <w:rPr>
          <w:rFonts w:ascii="Arial" w:hAnsi="Arial" w:cs="Arial"/>
          <w:color w:val="262626" w:themeColor="text1" w:themeTint="D9"/>
          <w:sz w:val="21"/>
          <w:szCs w:val="21"/>
        </w:rPr>
        <w:t>Republic of the Philippines</w:t>
      </w:r>
      <w:r w:rsidRPr="000D330E">
        <w:rPr>
          <w:rFonts w:ascii="Arial" w:hAnsi="Arial" w:cs="Arial"/>
          <w:color w:val="262626" w:themeColor="text1" w:themeTint="D9"/>
          <w:sz w:val="21"/>
          <w:szCs w:val="21"/>
        </w:rPr>
        <w:br/>
      </w:r>
      <w:bookmarkStart w:id="0" w:name="_GoBack"/>
      <w:bookmarkEnd w:id="0"/>
      <w:r w:rsidRPr="000D330E">
        <w:rPr>
          <w:rFonts w:ascii="Arial" w:hAnsi="Arial" w:cs="Arial"/>
          <w:b/>
          <w:bCs/>
          <w:color w:val="262626" w:themeColor="text1" w:themeTint="D9"/>
          <w:sz w:val="21"/>
          <w:szCs w:val="21"/>
        </w:rPr>
        <w:t>SUPREME COURT</w:t>
      </w:r>
      <w:r w:rsidRPr="000D330E">
        <w:rPr>
          <w:rFonts w:ascii="Arial" w:hAnsi="Arial" w:cs="Arial"/>
          <w:color w:val="262626" w:themeColor="text1" w:themeTint="D9"/>
          <w:sz w:val="21"/>
          <w:szCs w:val="21"/>
        </w:rPr>
        <w:br/>
        <w:t>Manila</w:t>
      </w:r>
    </w:p>
    <w:p w:rsidR="002C383A" w:rsidRPr="000D330E" w:rsidRDefault="002C383A" w:rsidP="002C383A">
      <w:pPr>
        <w:pStyle w:val="NormalWeb"/>
        <w:shd w:val="clear" w:color="auto" w:fill="FFFFFF"/>
        <w:jc w:val="center"/>
        <w:rPr>
          <w:rFonts w:ascii="Arial" w:hAnsi="Arial" w:cs="Arial"/>
          <w:color w:val="262626" w:themeColor="text1" w:themeTint="D9"/>
          <w:sz w:val="21"/>
          <w:szCs w:val="21"/>
        </w:rPr>
      </w:pPr>
      <w:r w:rsidRPr="000D330E">
        <w:rPr>
          <w:rFonts w:ascii="Arial" w:hAnsi="Arial" w:cs="Arial"/>
          <w:color w:val="262626" w:themeColor="text1" w:themeTint="D9"/>
          <w:sz w:val="21"/>
          <w:szCs w:val="21"/>
        </w:rPr>
        <w:t>EN BANC</w:t>
      </w:r>
    </w:p>
    <w:p w:rsidR="002C383A" w:rsidRPr="000D330E" w:rsidRDefault="002C383A" w:rsidP="002C383A">
      <w:pPr>
        <w:pStyle w:val="NormalWeb"/>
        <w:shd w:val="clear" w:color="auto" w:fill="FFFFFF"/>
        <w:rPr>
          <w:rFonts w:ascii="Arial" w:hAnsi="Arial" w:cs="Arial"/>
          <w:color w:val="262626" w:themeColor="text1" w:themeTint="D9"/>
          <w:sz w:val="21"/>
          <w:szCs w:val="21"/>
        </w:rPr>
      </w:pPr>
      <w:proofErr w:type="gramStart"/>
      <w:r w:rsidRPr="000D330E">
        <w:rPr>
          <w:rFonts w:ascii="Arial" w:hAnsi="Arial" w:cs="Arial"/>
          <w:b/>
          <w:bCs/>
          <w:color w:val="262626" w:themeColor="text1" w:themeTint="D9"/>
          <w:sz w:val="21"/>
          <w:szCs w:val="21"/>
        </w:rPr>
        <w:t>G.R. No.</w:t>
      </w:r>
      <w:proofErr w:type="gramEnd"/>
      <w:r w:rsidRPr="000D330E">
        <w:rPr>
          <w:rFonts w:ascii="Arial" w:hAnsi="Arial" w:cs="Arial"/>
          <w:b/>
          <w:bCs/>
          <w:color w:val="262626" w:themeColor="text1" w:themeTint="D9"/>
          <w:sz w:val="21"/>
          <w:szCs w:val="21"/>
        </w:rPr>
        <w:t xml:space="preserve"> L-21486             May 14, 1966</w:t>
      </w:r>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b/>
          <w:bCs/>
          <w:color w:val="262626" w:themeColor="text1" w:themeTint="D9"/>
          <w:sz w:val="21"/>
          <w:szCs w:val="21"/>
        </w:rPr>
        <w:t>LA MALLORCA and PAMPANGA BUS COMPANY,</w:t>
      </w:r>
      <w:r w:rsidRPr="000D330E">
        <w:rPr>
          <w:rFonts w:ascii="Arial" w:hAnsi="Arial" w:cs="Arial"/>
          <w:color w:val="262626" w:themeColor="text1" w:themeTint="D9"/>
          <w:sz w:val="21"/>
          <w:szCs w:val="21"/>
        </w:rPr>
        <w:t> petitioner, </w:t>
      </w:r>
      <w:r w:rsidRPr="000D330E">
        <w:rPr>
          <w:rFonts w:ascii="Arial" w:hAnsi="Arial" w:cs="Arial"/>
          <w:color w:val="262626" w:themeColor="text1" w:themeTint="D9"/>
          <w:sz w:val="21"/>
          <w:szCs w:val="21"/>
        </w:rPr>
        <w:br/>
        <w:t>vs.</w:t>
      </w:r>
      <w:r w:rsidRPr="000D330E">
        <w:rPr>
          <w:rFonts w:ascii="Arial" w:hAnsi="Arial" w:cs="Arial"/>
          <w:color w:val="262626" w:themeColor="text1" w:themeTint="D9"/>
          <w:sz w:val="21"/>
          <w:szCs w:val="21"/>
        </w:rPr>
        <w:br/>
      </w:r>
      <w:r w:rsidRPr="000D330E">
        <w:rPr>
          <w:rFonts w:ascii="Arial" w:hAnsi="Arial" w:cs="Arial"/>
          <w:b/>
          <w:bCs/>
          <w:color w:val="262626" w:themeColor="text1" w:themeTint="D9"/>
          <w:sz w:val="21"/>
          <w:szCs w:val="21"/>
        </w:rPr>
        <w:t>VALENTIN DE JESUS, MANOLO TOLENTINO and COURT OF APPEALS,</w:t>
      </w:r>
      <w:r w:rsidRPr="000D330E">
        <w:rPr>
          <w:rFonts w:ascii="Arial" w:hAnsi="Arial" w:cs="Arial"/>
          <w:color w:val="262626" w:themeColor="text1" w:themeTint="D9"/>
          <w:sz w:val="21"/>
          <w:szCs w:val="21"/>
        </w:rPr>
        <w:t> respondents.</w:t>
      </w:r>
    </w:p>
    <w:p w:rsidR="002C383A" w:rsidRPr="000D330E" w:rsidRDefault="002C383A" w:rsidP="002C383A">
      <w:pPr>
        <w:pStyle w:val="NormalWeb"/>
        <w:shd w:val="clear" w:color="auto" w:fill="FFFFFF"/>
        <w:rPr>
          <w:rFonts w:ascii="Arial" w:hAnsi="Arial" w:cs="Arial"/>
          <w:color w:val="262626" w:themeColor="text1" w:themeTint="D9"/>
          <w:sz w:val="21"/>
          <w:szCs w:val="21"/>
        </w:rPr>
      </w:pPr>
      <w:proofErr w:type="gramStart"/>
      <w:r w:rsidRPr="000D330E">
        <w:rPr>
          <w:rFonts w:ascii="Arial" w:hAnsi="Arial" w:cs="Arial"/>
          <w:i/>
          <w:iCs/>
          <w:color w:val="262626" w:themeColor="text1" w:themeTint="D9"/>
          <w:sz w:val="21"/>
          <w:szCs w:val="21"/>
        </w:rPr>
        <w:t>Manuel O. Chan for petitioners.</w:t>
      </w:r>
      <w:proofErr w:type="gramEnd"/>
      <w:r w:rsidRPr="000D330E">
        <w:rPr>
          <w:rFonts w:ascii="Arial" w:hAnsi="Arial" w:cs="Arial"/>
          <w:i/>
          <w:iCs/>
          <w:color w:val="262626" w:themeColor="text1" w:themeTint="D9"/>
          <w:sz w:val="21"/>
          <w:szCs w:val="21"/>
        </w:rPr>
        <w:br/>
      </w:r>
      <w:proofErr w:type="spellStart"/>
      <w:proofErr w:type="gramStart"/>
      <w:r w:rsidRPr="000D330E">
        <w:rPr>
          <w:rFonts w:ascii="Arial" w:hAnsi="Arial" w:cs="Arial"/>
          <w:i/>
          <w:iCs/>
          <w:color w:val="262626" w:themeColor="text1" w:themeTint="D9"/>
          <w:sz w:val="21"/>
          <w:szCs w:val="21"/>
        </w:rPr>
        <w:t>Sixto</w:t>
      </w:r>
      <w:proofErr w:type="spellEnd"/>
      <w:r w:rsidRPr="000D330E">
        <w:rPr>
          <w:rFonts w:ascii="Arial" w:hAnsi="Arial" w:cs="Arial"/>
          <w:i/>
          <w:iCs/>
          <w:color w:val="262626" w:themeColor="text1" w:themeTint="D9"/>
          <w:sz w:val="21"/>
          <w:szCs w:val="21"/>
        </w:rPr>
        <w:t xml:space="preserve"> T. Antonio for respondents.</w:t>
      </w:r>
      <w:proofErr w:type="gramEnd"/>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b/>
          <w:bCs/>
          <w:color w:val="262626" w:themeColor="text1" w:themeTint="D9"/>
          <w:sz w:val="21"/>
          <w:szCs w:val="21"/>
        </w:rPr>
        <w:t>MAKALINTAL, </w:t>
      </w:r>
      <w:r w:rsidRPr="000D330E">
        <w:rPr>
          <w:rFonts w:ascii="Arial" w:hAnsi="Arial" w:cs="Arial"/>
          <w:b/>
          <w:bCs/>
          <w:i/>
          <w:iCs/>
          <w:color w:val="262626" w:themeColor="text1" w:themeTint="D9"/>
          <w:sz w:val="21"/>
          <w:szCs w:val="21"/>
        </w:rPr>
        <w:t>J.:</w:t>
      </w:r>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color w:val="262626" w:themeColor="text1" w:themeTint="D9"/>
          <w:sz w:val="21"/>
          <w:szCs w:val="21"/>
        </w:rPr>
        <w:t>La Mallorca and Pampanga Bus Company, Inc., commonly known as La Mallorca-</w:t>
      </w:r>
      <w:proofErr w:type="spellStart"/>
      <w:r w:rsidRPr="000D330E">
        <w:rPr>
          <w:rFonts w:ascii="Arial" w:hAnsi="Arial" w:cs="Arial"/>
          <w:color w:val="262626" w:themeColor="text1" w:themeTint="D9"/>
          <w:sz w:val="21"/>
          <w:szCs w:val="21"/>
        </w:rPr>
        <w:t>Pambusco</w:t>
      </w:r>
      <w:proofErr w:type="spellEnd"/>
      <w:r w:rsidRPr="000D330E">
        <w:rPr>
          <w:rFonts w:ascii="Arial" w:hAnsi="Arial" w:cs="Arial"/>
          <w:color w:val="262626" w:themeColor="text1" w:themeTint="D9"/>
          <w:sz w:val="21"/>
          <w:szCs w:val="21"/>
        </w:rPr>
        <w:t>, filed this appeal by </w:t>
      </w:r>
      <w:r w:rsidRPr="000D330E">
        <w:rPr>
          <w:rFonts w:ascii="Arial" w:hAnsi="Arial" w:cs="Arial"/>
          <w:i/>
          <w:iCs/>
          <w:color w:val="262626" w:themeColor="text1" w:themeTint="D9"/>
          <w:sz w:val="21"/>
          <w:szCs w:val="21"/>
        </w:rPr>
        <w:t>certiorari</w:t>
      </w:r>
      <w:r w:rsidRPr="000D330E">
        <w:rPr>
          <w:rFonts w:ascii="Arial" w:hAnsi="Arial" w:cs="Arial"/>
          <w:color w:val="262626" w:themeColor="text1" w:themeTint="D9"/>
          <w:sz w:val="21"/>
          <w:szCs w:val="21"/>
        </w:rPr>
        <w:t xml:space="preserve"> from the decision of the Court of Appeals which affirmed that rendered by the Court of First Instance of </w:t>
      </w:r>
      <w:proofErr w:type="spellStart"/>
      <w:r w:rsidRPr="000D330E">
        <w:rPr>
          <w:rFonts w:ascii="Arial" w:hAnsi="Arial" w:cs="Arial"/>
          <w:color w:val="262626" w:themeColor="text1" w:themeTint="D9"/>
          <w:sz w:val="21"/>
          <w:szCs w:val="21"/>
        </w:rPr>
        <w:t>Bulacan</w:t>
      </w:r>
      <w:proofErr w:type="spellEnd"/>
      <w:r w:rsidRPr="000D330E">
        <w:rPr>
          <w:rFonts w:ascii="Arial" w:hAnsi="Arial" w:cs="Arial"/>
          <w:color w:val="262626" w:themeColor="text1" w:themeTint="D9"/>
          <w:sz w:val="21"/>
          <w:szCs w:val="21"/>
        </w:rPr>
        <w:t xml:space="preserve"> in its civil case No. 2100, entitled "</w:t>
      </w:r>
      <w:proofErr w:type="spellStart"/>
      <w:r w:rsidRPr="000D330E">
        <w:rPr>
          <w:rFonts w:ascii="Arial" w:hAnsi="Arial" w:cs="Arial"/>
          <w:color w:val="262626" w:themeColor="text1" w:themeTint="D9"/>
          <w:sz w:val="21"/>
          <w:szCs w:val="21"/>
        </w:rPr>
        <w:t>Valentin</w:t>
      </w:r>
      <w:proofErr w:type="spellEnd"/>
      <w:r w:rsidRPr="000D330E">
        <w:rPr>
          <w:rFonts w:ascii="Arial" w:hAnsi="Arial" w:cs="Arial"/>
          <w:color w:val="262626" w:themeColor="text1" w:themeTint="D9"/>
          <w:sz w:val="21"/>
          <w:szCs w:val="21"/>
        </w:rPr>
        <w:t xml:space="preserve"> de Jesus and </w:t>
      </w:r>
      <w:proofErr w:type="spellStart"/>
      <w:r w:rsidRPr="000D330E">
        <w:rPr>
          <w:rFonts w:ascii="Arial" w:hAnsi="Arial" w:cs="Arial"/>
          <w:color w:val="262626" w:themeColor="text1" w:themeTint="D9"/>
          <w:sz w:val="21"/>
          <w:szCs w:val="21"/>
        </w:rPr>
        <w:t>Manolo</w:t>
      </w:r>
      <w:proofErr w:type="spellEnd"/>
      <w:r w:rsidRPr="000D330E">
        <w:rPr>
          <w:rFonts w:ascii="Arial" w:hAnsi="Arial" w:cs="Arial"/>
          <w:color w:val="262626" w:themeColor="text1" w:themeTint="D9"/>
          <w:sz w:val="21"/>
          <w:szCs w:val="21"/>
        </w:rPr>
        <w:t xml:space="preserve"> </w:t>
      </w:r>
      <w:proofErr w:type="spellStart"/>
      <w:r w:rsidRPr="000D330E">
        <w:rPr>
          <w:rFonts w:ascii="Arial" w:hAnsi="Arial" w:cs="Arial"/>
          <w:color w:val="262626" w:themeColor="text1" w:themeTint="D9"/>
          <w:sz w:val="21"/>
          <w:szCs w:val="21"/>
        </w:rPr>
        <w:t>Tolentino</w:t>
      </w:r>
      <w:proofErr w:type="spellEnd"/>
      <w:r w:rsidRPr="000D330E">
        <w:rPr>
          <w:rFonts w:ascii="Arial" w:hAnsi="Arial" w:cs="Arial"/>
          <w:color w:val="262626" w:themeColor="text1" w:themeTint="D9"/>
          <w:sz w:val="21"/>
          <w:szCs w:val="21"/>
        </w:rPr>
        <w:t xml:space="preserve"> vs. La Mallorca-</w:t>
      </w:r>
      <w:proofErr w:type="spellStart"/>
      <w:r w:rsidRPr="000D330E">
        <w:rPr>
          <w:rFonts w:ascii="Arial" w:hAnsi="Arial" w:cs="Arial"/>
          <w:color w:val="262626" w:themeColor="text1" w:themeTint="D9"/>
          <w:sz w:val="21"/>
          <w:szCs w:val="21"/>
        </w:rPr>
        <w:t>Pambusco</w:t>
      </w:r>
      <w:proofErr w:type="spellEnd"/>
      <w:r w:rsidRPr="000D330E">
        <w:rPr>
          <w:rFonts w:ascii="Arial" w:hAnsi="Arial" w:cs="Arial"/>
          <w:color w:val="262626" w:themeColor="text1" w:themeTint="D9"/>
          <w:sz w:val="21"/>
          <w:szCs w:val="21"/>
        </w:rPr>
        <w:t>." The court </w:t>
      </w:r>
      <w:r w:rsidRPr="000D330E">
        <w:rPr>
          <w:rFonts w:ascii="Arial" w:hAnsi="Arial" w:cs="Arial"/>
          <w:i/>
          <w:iCs/>
          <w:color w:val="262626" w:themeColor="text1" w:themeTint="D9"/>
          <w:sz w:val="21"/>
          <w:szCs w:val="21"/>
        </w:rPr>
        <w:t>a quo</w:t>
      </w:r>
      <w:r w:rsidRPr="000D330E">
        <w:rPr>
          <w:rFonts w:ascii="Arial" w:hAnsi="Arial" w:cs="Arial"/>
          <w:color w:val="262626" w:themeColor="text1" w:themeTint="D9"/>
          <w:sz w:val="21"/>
          <w:szCs w:val="21"/>
        </w:rPr>
        <w:t> sentenced the defendant, now petitioner, "to pay to plaintiffs the amount of P2,132.50 for actual damages; P14,400.00 as compensatory damages; P10,000.00 to each plaintiff by way of moral damages; and P3,000.00 as counsel fees."</w:t>
      </w:r>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color w:val="262626" w:themeColor="text1" w:themeTint="D9"/>
          <w:sz w:val="21"/>
          <w:szCs w:val="21"/>
        </w:rPr>
        <w:t>Two errors are attributed to the appellate Court: (1) "in sustaining the decision (of the court </w:t>
      </w:r>
      <w:r w:rsidRPr="000D330E">
        <w:rPr>
          <w:rFonts w:ascii="Arial" w:hAnsi="Arial" w:cs="Arial"/>
          <w:i/>
          <w:iCs/>
          <w:color w:val="262626" w:themeColor="text1" w:themeTint="D9"/>
          <w:sz w:val="21"/>
          <w:szCs w:val="21"/>
        </w:rPr>
        <w:t>a quo</w:t>
      </w:r>
      <w:r w:rsidRPr="000D330E">
        <w:rPr>
          <w:rFonts w:ascii="Arial" w:hAnsi="Arial" w:cs="Arial"/>
          <w:color w:val="262626" w:themeColor="text1" w:themeTint="D9"/>
          <w:sz w:val="21"/>
          <w:szCs w:val="21"/>
        </w:rPr>
        <w:t>) holding that the petitioners were liable for the accident which was caused by a blow-out of one of the tires of the bus and in not considering the same as </w:t>
      </w:r>
      <w:proofErr w:type="spellStart"/>
      <w:r w:rsidRPr="000D330E">
        <w:rPr>
          <w:rFonts w:ascii="Arial" w:hAnsi="Arial" w:cs="Arial"/>
          <w:i/>
          <w:iCs/>
          <w:color w:val="262626" w:themeColor="text1" w:themeTint="D9"/>
          <w:sz w:val="21"/>
          <w:szCs w:val="21"/>
        </w:rPr>
        <w:t>caso</w:t>
      </w:r>
      <w:proofErr w:type="spellEnd"/>
      <w:r w:rsidRPr="000D330E">
        <w:rPr>
          <w:rFonts w:ascii="Arial" w:hAnsi="Arial" w:cs="Arial"/>
          <w:i/>
          <w:iCs/>
          <w:color w:val="262626" w:themeColor="text1" w:themeTint="D9"/>
          <w:sz w:val="21"/>
          <w:szCs w:val="21"/>
        </w:rPr>
        <w:t xml:space="preserve"> </w:t>
      </w:r>
      <w:proofErr w:type="spellStart"/>
      <w:r w:rsidRPr="000D330E">
        <w:rPr>
          <w:rFonts w:ascii="Arial" w:hAnsi="Arial" w:cs="Arial"/>
          <w:i/>
          <w:iCs/>
          <w:color w:val="262626" w:themeColor="text1" w:themeTint="D9"/>
          <w:sz w:val="21"/>
          <w:szCs w:val="21"/>
        </w:rPr>
        <w:t>fortuito</w:t>
      </w:r>
      <w:proofErr w:type="spellEnd"/>
      <w:r w:rsidRPr="000D330E">
        <w:rPr>
          <w:rFonts w:ascii="Arial" w:hAnsi="Arial" w:cs="Arial"/>
          <w:color w:val="262626" w:themeColor="text1" w:themeTint="D9"/>
          <w:sz w:val="21"/>
          <w:szCs w:val="21"/>
        </w:rPr>
        <w:t>," and (2) in holding petitioners liable for moral damages.</w:t>
      </w:r>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color w:val="262626" w:themeColor="text1" w:themeTint="D9"/>
          <w:sz w:val="21"/>
          <w:szCs w:val="21"/>
        </w:rPr>
        <w:t xml:space="preserve">The suit arose by reason of the death of Lolita de Jesus, 20-year old daughter of </w:t>
      </w:r>
      <w:proofErr w:type="spellStart"/>
      <w:r w:rsidRPr="000D330E">
        <w:rPr>
          <w:rFonts w:ascii="Arial" w:hAnsi="Arial" w:cs="Arial"/>
          <w:color w:val="262626" w:themeColor="text1" w:themeTint="D9"/>
          <w:sz w:val="21"/>
          <w:szCs w:val="21"/>
        </w:rPr>
        <w:t>Valentin</w:t>
      </w:r>
      <w:proofErr w:type="spellEnd"/>
      <w:r w:rsidRPr="000D330E">
        <w:rPr>
          <w:rFonts w:ascii="Arial" w:hAnsi="Arial" w:cs="Arial"/>
          <w:color w:val="262626" w:themeColor="text1" w:themeTint="D9"/>
          <w:sz w:val="21"/>
          <w:szCs w:val="21"/>
        </w:rPr>
        <w:t xml:space="preserve"> de Jesus and wife of </w:t>
      </w:r>
      <w:proofErr w:type="spellStart"/>
      <w:r w:rsidRPr="000D330E">
        <w:rPr>
          <w:rFonts w:ascii="Arial" w:hAnsi="Arial" w:cs="Arial"/>
          <w:color w:val="262626" w:themeColor="text1" w:themeTint="D9"/>
          <w:sz w:val="21"/>
          <w:szCs w:val="21"/>
        </w:rPr>
        <w:t>Manolo</w:t>
      </w:r>
      <w:proofErr w:type="spellEnd"/>
      <w:r w:rsidRPr="000D330E">
        <w:rPr>
          <w:rFonts w:ascii="Arial" w:hAnsi="Arial" w:cs="Arial"/>
          <w:color w:val="262626" w:themeColor="text1" w:themeTint="D9"/>
          <w:sz w:val="21"/>
          <w:szCs w:val="21"/>
        </w:rPr>
        <w:t xml:space="preserve"> </w:t>
      </w:r>
      <w:proofErr w:type="spellStart"/>
      <w:r w:rsidRPr="000D330E">
        <w:rPr>
          <w:rFonts w:ascii="Arial" w:hAnsi="Arial" w:cs="Arial"/>
          <w:color w:val="262626" w:themeColor="text1" w:themeTint="D9"/>
          <w:sz w:val="21"/>
          <w:szCs w:val="21"/>
        </w:rPr>
        <w:t>Tolentino</w:t>
      </w:r>
      <w:proofErr w:type="spellEnd"/>
      <w:r w:rsidRPr="000D330E">
        <w:rPr>
          <w:rFonts w:ascii="Arial" w:hAnsi="Arial" w:cs="Arial"/>
          <w:color w:val="262626" w:themeColor="text1" w:themeTint="D9"/>
          <w:sz w:val="21"/>
          <w:szCs w:val="21"/>
        </w:rPr>
        <w:t xml:space="preserve">, in a head-on collision between petitioner's bus, on which she was a passenger, and a freight truck traveling in the opposite direction, in a barrio in </w:t>
      </w:r>
      <w:proofErr w:type="spellStart"/>
      <w:r w:rsidRPr="000D330E">
        <w:rPr>
          <w:rFonts w:ascii="Arial" w:hAnsi="Arial" w:cs="Arial"/>
          <w:color w:val="262626" w:themeColor="text1" w:themeTint="D9"/>
          <w:sz w:val="21"/>
          <w:szCs w:val="21"/>
        </w:rPr>
        <w:t>Marilao</w:t>
      </w:r>
      <w:proofErr w:type="spellEnd"/>
      <w:r w:rsidRPr="000D330E">
        <w:rPr>
          <w:rFonts w:ascii="Arial" w:hAnsi="Arial" w:cs="Arial"/>
          <w:color w:val="262626" w:themeColor="text1" w:themeTint="D9"/>
          <w:sz w:val="21"/>
          <w:szCs w:val="21"/>
        </w:rPr>
        <w:t xml:space="preserve"> </w:t>
      </w:r>
      <w:proofErr w:type="spellStart"/>
      <w:r w:rsidRPr="000D330E">
        <w:rPr>
          <w:rFonts w:ascii="Arial" w:hAnsi="Arial" w:cs="Arial"/>
          <w:color w:val="262626" w:themeColor="text1" w:themeTint="D9"/>
          <w:sz w:val="21"/>
          <w:szCs w:val="21"/>
        </w:rPr>
        <w:t>Bulacan</w:t>
      </w:r>
      <w:proofErr w:type="spellEnd"/>
      <w:r w:rsidRPr="000D330E">
        <w:rPr>
          <w:rFonts w:ascii="Arial" w:hAnsi="Arial" w:cs="Arial"/>
          <w:color w:val="262626" w:themeColor="text1" w:themeTint="D9"/>
          <w:sz w:val="21"/>
          <w:szCs w:val="21"/>
        </w:rPr>
        <w:t>, in the morning of October 8, 1959. The immediate cause of the collision was the fact that the driver of the bus lost control of the wheel when its left front tire suddenly exploded.</w:t>
      </w:r>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color w:val="262626" w:themeColor="text1" w:themeTint="D9"/>
          <w:sz w:val="21"/>
          <w:szCs w:val="21"/>
        </w:rPr>
        <w:t>Petitioner maintains that a tire blow-out is a fortuitous event and gives rise to no liability for negligence, citing the rulings of the Court of Appeals in </w:t>
      </w:r>
      <w:r w:rsidRPr="000D330E">
        <w:rPr>
          <w:rFonts w:ascii="Arial" w:hAnsi="Arial" w:cs="Arial"/>
          <w:i/>
          <w:iCs/>
          <w:color w:val="262626" w:themeColor="text1" w:themeTint="D9"/>
          <w:sz w:val="21"/>
          <w:szCs w:val="21"/>
        </w:rPr>
        <w:t>Rodriguez vs. Red Line Transportation Co.</w:t>
      </w:r>
      <w:r w:rsidRPr="000D330E">
        <w:rPr>
          <w:rFonts w:ascii="Arial" w:hAnsi="Arial" w:cs="Arial"/>
          <w:color w:val="262626" w:themeColor="text1" w:themeTint="D9"/>
          <w:sz w:val="21"/>
          <w:szCs w:val="21"/>
        </w:rPr>
        <w:t xml:space="preserve">, CA-G.R. No. 8136, December 29, 1954, and People vs. </w:t>
      </w:r>
      <w:proofErr w:type="spellStart"/>
      <w:r w:rsidRPr="000D330E">
        <w:rPr>
          <w:rFonts w:ascii="Arial" w:hAnsi="Arial" w:cs="Arial"/>
          <w:color w:val="262626" w:themeColor="text1" w:themeTint="D9"/>
          <w:sz w:val="21"/>
          <w:szCs w:val="21"/>
        </w:rPr>
        <w:t>Palapad</w:t>
      </w:r>
      <w:proofErr w:type="spellEnd"/>
      <w:r w:rsidRPr="000D330E">
        <w:rPr>
          <w:rFonts w:ascii="Arial" w:hAnsi="Arial" w:cs="Arial"/>
          <w:color w:val="262626" w:themeColor="text1" w:themeTint="D9"/>
          <w:sz w:val="21"/>
          <w:szCs w:val="21"/>
        </w:rPr>
        <w:t xml:space="preserve">, CA-G.R. No. 18480, June 27, 1958. These rulings, however, not only are not </w:t>
      </w:r>
      <w:proofErr w:type="spellStart"/>
      <w:r w:rsidRPr="000D330E">
        <w:rPr>
          <w:rFonts w:ascii="Arial" w:hAnsi="Arial" w:cs="Arial"/>
          <w:color w:val="262626" w:themeColor="text1" w:themeTint="D9"/>
          <w:sz w:val="21"/>
          <w:szCs w:val="21"/>
        </w:rPr>
        <w:t>not</w:t>
      </w:r>
      <w:proofErr w:type="spellEnd"/>
      <w:r w:rsidRPr="000D330E">
        <w:rPr>
          <w:rFonts w:ascii="Arial" w:hAnsi="Arial" w:cs="Arial"/>
          <w:color w:val="262626" w:themeColor="text1" w:themeTint="D9"/>
          <w:sz w:val="21"/>
          <w:szCs w:val="21"/>
        </w:rPr>
        <w:t xml:space="preserve"> binding on this Court but were based on considerations quite different from those that obtain in </w:t>
      </w:r>
      <w:proofErr w:type="gramStart"/>
      <w:r w:rsidRPr="000D330E">
        <w:rPr>
          <w:rFonts w:ascii="Arial" w:hAnsi="Arial" w:cs="Arial"/>
          <w:color w:val="262626" w:themeColor="text1" w:themeTint="D9"/>
          <w:sz w:val="21"/>
          <w:szCs w:val="21"/>
        </w:rPr>
        <w:t>the at</w:t>
      </w:r>
      <w:proofErr w:type="gramEnd"/>
      <w:r w:rsidRPr="000D330E">
        <w:rPr>
          <w:rFonts w:ascii="Arial" w:hAnsi="Arial" w:cs="Arial"/>
          <w:color w:val="262626" w:themeColor="text1" w:themeTint="D9"/>
          <w:sz w:val="21"/>
          <w:szCs w:val="21"/>
        </w:rPr>
        <w:t xml:space="preserve"> bar. The appellate Court there made no findings of any specified acts of negligence on the part of the defendants and confined itself to the question of whether or not a tire blow-out, by itself alone and without a showing as to the causative factors, would generate liability. In the present case, the cause of the blow-out was known. The inner tube of the left front tire, according to petitioner's own evidence and as found by the Court of Appeals "was pressed between the inner circle of the left wheel and the rim which had slipped out of the wheel." This was, said Court correctly </w:t>
      </w:r>
      <w:proofErr w:type="gramStart"/>
      <w:r w:rsidRPr="000D330E">
        <w:rPr>
          <w:rFonts w:ascii="Arial" w:hAnsi="Arial" w:cs="Arial"/>
          <w:color w:val="262626" w:themeColor="text1" w:themeTint="D9"/>
          <w:sz w:val="21"/>
          <w:szCs w:val="21"/>
        </w:rPr>
        <w:t>held,</w:t>
      </w:r>
      <w:proofErr w:type="gramEnd"/>
      <w:r w:rsidRPr="000D330E">
        <w:rPr>
          <w:rFonts w:ascii="Arial" w:hAnsi="Arial" w:cs="Arial"/>
          <w:color w:val="262626" w:themeColor="text1" w:themeTint="D9"/>
          <w:sz w:val="21"/>
          <w:szCs w:val="21"/>
        </w:rPr>
        <w:t xml:space="preserve"> a mechanical defect of the conveyance or a fault in its equipment which was easily discoverable if the bus had been subjected to a more thorough, or rigid check-up before it took to the road that morning.</w:t>
      </w:r>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color w:val="262626" w:themeColor="text1" w:themeTint="D9"/>
          <w:sz w:val="21"/>
          <w:szCs w:val="21"/>
        </w:rPr>
        <w:t xml:space="preserve">Then again both the trial court and the Court of Appeals found as a fact that the bus was running quite fast immediately before the accident. Considering that the tire which exploded was not new — </w:t>
      </w:r>
      <w:r w:rsidRPr="000D330E">
        <w:rPr>
          <w:rFonts w:ascii="Arial" w:hAnsi="Arial" w:cs="Arial"/>
          <w:color w:val="262626" w:themeColor="text1" w:themeTint="D9"/>
          <w:sz w:val="21"/>
          <w:szCs w:val="21"/>
        </w:rPr>
        <w:lastRenderedPageBreak/>
        <w:t>petitioner describes it as "</w:t>
      </w:r>
      <w:proofErr w:type="spellStart"/>
      <w:r w:rsidRPr="000D330E">
        <w:rPr>
          <w:rFonts w:ascii="Arial" w:hAnsi="Arial" w:cs="Arial"/>
          <w:color w:val="262626" w:themeColor="text1" w:themeTint="D9"/>
          <w:sz w:val="21"/>
          <w:szCs w:val="21"/>
        </w:rPr>
        <w:t>hindi</w:t>
      </w:r>
      <w:proofErr w:type="spellEnd"/>
      <w:r w:rsidRPr="000D330E">
        <w:rPr>
          <w:rFonts w:ascii="Arial" w:hAnsi="Arial" w:cs="Arial"/>
          <w:color w:val="262626" w:themeColor="text1" w:themeTint="D9"/>
          <w:sz w:val="21"/>
          <w:szCs w:val="21"/>
        </w:rPr>
        <w:t xml:space="preserve"> </w:t>
      </w:r>
      <w:proofErr w:type="spellStart"/>
      <w:r w:rsidRPr="000D330E">
        <w:rPr>
          <w:rFonts w:ascii="Arial" w:hAnsi="Arial" w:cs="Arial"/>
          <w:color w:val="262626" w:themeColor="text1" w:themeTint="D9"/>
          <w:sz w:val="21"/>
          <w:szCs w:val="21"/>
        </w:rPr>
        <w:t>masyadong</w:t>
      </w:r>
      <w:proofErr w:type="spellEnd"/>
      <w:r w:rsidRPr="000D330E">
        <w:rPr>
          <w:rFonts w:ascii="Arial" w:hAnsi="Arial" w:cs="Arial"/>
          <w:color w:val="262626" w:themeColor="text1" w:themeTint="D9"/>
          <w:sz w:val="21"/>
          <w:szCs w:val="21"/>
        </w:rPr>
        <w:t xml:space="preserve"> </w:t>
      </w:r>
      <w:proofErr w:type="spellStart"/>
      <w:r w:rsidRPr="000D330E">
        <w:rPr>
          <w:rFonts w:ascii="Arial" w:hAnsi="Arial" w:cs="Arial"/>
          <w:color w:val="262626" w:themeColor="text1" w:themeTint="D9"/>
          <w:sz w:val="21"/>
          <w:szCs w:val="21"/>
        </w:rPr>
        <w:t>kalbo</w:t>
      </w:r>
      <w:proofErr w:type="spellEnd"/>
      <w:r w:rsidRPr="000D330E">
        <w:rPr>
          <w:rFonts w:ascii="Arial" w:hAnsi="Arial" w:cs="Arial"/>
          <w:color w:val="262626" w:themeColor="text1" w:themeTint="D9"/>
          <w:sz w:val="21"/>
          <w:szCs w:val="21"/>
        </w:rPr>
        <w:t>," or not so very worn out — the plea of </w:t>
      </w:r>
      <w:proofErr w:type="spellStart"/>
      <w:r w:rsidRPr="000D330E">
        <w:rPr>
          <w:rFonts w:ascii="Arial" w:hAnsi="Arial" w:cs="Arial"/>
          <w:i/>
          <w:iCs/>
          <w:color w:val="262626" w:themeColor="text1" w:themeTint="D9"/>
          <w:sz w:val="21"/>
          <w:szCs w:val="21"/>
        </w:rPr>
        <w:t>caso</w:t>
      </w:r>
      <w:proofErr w:type="spellEnd"/>
      <w:r w:rsidRPr="000D330E">
        <w:rPr>
          <w:rFonts w:ascii="Arial" w:hAnsi="Arial" w:cs="Arial"/>
          <w:i/>
          <w:iCs/>
          <w:color w:val="262626" w:themeColor="text1" w:themeTint="D9"/>
          <w:sz w:val="21"/>
          <w:szCs w:val="21"/>
        </w:rPr>
        <w:t xml:space="preserve"> </w:t>
      </w:r>
      <w:proofErr w:type="spellStart"/>
      <w:r w:rsidRPr="000D330E">
        <w:rPr>
          <w:rFonts w:ascii="Arial" w:hAnsi="Arial" w:cs="Arial"/>
          <w:i/>
          <w:iCs/>
          <w:color w:val="262626" w:themeColor="text1" w:themeTint="D9"/>
          <w:sz w:val="21"/>
          <w:szCs w:val="21"/>
        </w:rPr>
        <w:t>fortuito</w:t>
      </w:r>
      <w:proofErr w:type="spellEnd"/>
      <w:r w:rsidRPr="000D330E">
        <w:rPr>
          <w:rFonts w:ascii="Arial" w:hAnsi="Arial" w:cs="Arial"/>
          <w:color w:val="262626" w:themeColor="text1" w:themeTint="D9"/>
          <w:sz w:val="21"/>
          <w:szCs w:val="21"/>
        </w:rPr>
        <w:t> cannot be entertained.</w:t>
      </w:r>
      <w:r w:rsidRPr="000D330E">
        <w:rPr>
          <w:rStyle w:val="HTMLCite"/>
          <w:rFonts w:ascii="Arial" w:hAnsi="Arial" w:cs="Arial"/>
          <w:color w:val="262626" w:themeColor="text1" w:themeTint="D9"/>
          <w:sz w:val="2"/>
          <w:szCs w:val="2"/>
        </w:rPr>
        <w:t>1äwphï1.ñët</w:t>
      </w:r>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color w:val="262626" w:themeColor="text1" w:themeTint="D9"/>
          <w:sz w:val="21"/>
          <w:szCs w:val="21"/>
        </w:rPr>
        <w:t>The second issue raised by petitioner is already a settled one. In this jurisdiction moral damages are recoverable by reason of the death of a passenger caused by the breach of contract of a common carrier, as provided in Article 1764, in relation to Article 2206, of the Civil Code. These articles have been applied by this Court in a number of cases, among them </w:t>
      </w:r>
      <w:proofErr w:type="spellStart"/>
      <w:r w:rsidRPr="000D330E">
        <w:rPr>
          <w:rFonts w:ascii="Arial" w:hAnsi="Arial" w:cs="Arial"/>
          <w:i/>
          <w:iCs/>
          <w:color w:val="262626" w:themeColor="text1" w:themeTint="D9"/>
          <w:sz w:val="21"/>
          <w:szCs w:val="21"/>
        </w:rPr>
        <w:t>Necesito</w:t>
      </w:r>
      <w:proofErr w:type="spellEnd"/>
      <w:r w:rsidRPr="000D330E">
        <w:rPr>
          <w:rFonts w:ascii="Arial" w:hAnsi="Arial" w:cs="Arial"/>
          <w:i/>
          <w:iCs/>
          <w:color w:val="262626" w:themeColor="text1" w:themeTint="D9"/>
          <w:sz w:val="21"/>
          <w:szCs w:val="21"/>
        </w:rPr>
        <w:t xml:space="preserve">, etc. vs. </w:t>
      </w:r>
      <w:proofErr w:type="spellStart"/>
      <w:r w:rsidRPr="000D330E">
        <w:rPr>
          <w:rFonts w:ascii="Arial" w:hAnsi="Arial" w:cs="Arial"/>
          <w:i/>
          <w:iCs/>
          <w:color w:val="262626" w:themeColor="text1" w:themeTint="D9"/>
          <w:sz w:val="21"/>
          <w:szCs w:val="21"/>
        </w:rPr>
        <w:t>Paras</w:t>
      </w:r>
      <w:proofErr w:type="spellEnd"/>
      <w:r w:rsidRPr="000D330E">
        <w:rPr>
          <w:rFonts w:ascii="Arial" w:hAnsi="Arial" w:cs="Arial"/>
          <w:i/>
          <w:iCs/>
          <w:color w:val="262626" w:themeColor="text1" w:themeTint="D9"/>
          <w:sz w:val="21"/>
          <w:szCs w:val="21"/>
        </w:rPr>
        <w:t>, et al.</w:t>
      </w:r>
      <w:r w:rsidRPr="000D330E">
        <w:rPr>
          <w:rFonts w:ascii="Arial" w:hAnsi="Arial" w:cs="Arial"/>
          <w:color w:val="262626" w:themeColor="text1" w:themeTint="D9"/>
          <w:sz w:val="21"/>
          <w:szCs w:val="21"/>
        </w:rPr>
        <w:t>, L-10605-06, June 30, 1958; </w:t>
      </w:r>
      <w:r w:rsidRPr="000D330E">
        <w:rPr>
          <w:rFonts w:ascii="Arial" w:hAnsi="Arial" w:cs="Arial"/>
          <w:i/>
          <w:iCs/>
          <w:color w:val="262626" w:themeColor="text1" w:themeTint="D9"/>
          <w:sz w:val="21"/>
          <w:szCs w:val="21"/>
        </w:rPr>
        <w:t>Mercado vs. Lira</w:t>
      </w:r>
      <w:r w:rsidRPr="000D330E">
        <w:rPr>
          <w:rFonts w:ascii="Arial" w:hAnsi="Arial" w:cs="Arial"/>
          <w:color w:val="262626" w:themeColor="text1" w:themeTint="D9"/>
          <w:sz w:val="21"/>
          <w:szCs w:val="21"/>
        </w:rPr>
        <w:t>, L-13328-29, Sept. 29, 1961; </w:t>
      </w:r>
      <w:r w:rsidRPr="000D330E">
        <w:rPr>
          <w:rFonts w:ascii="Arial" w:hAnsi="Arial" w:cs="Arial"/>
          <w:i/>
          <w:iCs/>
          <w:color w:val="262626" w:themeColor="text1" w:themeTint="D9"/>
          <w:sz w:val="21"/>
          <w:szCs w:val="21"/>
        </w:rPr>
        <w:t>Villa-Rey Transit vs. Bello</w:t>
      </w:r>
      <w:r w:rsidRPr="000D330E">
        <w:rPr>
          <w:rFonts w:ascii="Arial" w:hAnsi="Arial" w:cs="Arial"/>
          <w:color w:val="262626" w:themeColor="text1" w:themeTint="D9"/>
          <w:sz w:val="21"/>
          <w:szCs w:val="21"/>
        </w:rPr>
        <w:t>, L-18957, April 23, 1963.</w:t>
      </w:r>
    </w:p>
    <w:p w:rsidR="002C383A" w:rsidRPr="000D330E" w:rsidRDefault="002C383A" w:rsidP="002C383A">
      <w:pPr>
        <w:pStyle w:val="NormalWeb"/>
        <w:shd w:val="clear" w:color="auto" w:fill="FFFFFF"/>
        <w:rPr>
          <w:rFonts w:ascii="Arial" w:hAnsi="Arial" w:cs="Arial"/>
          <w:color w:val="262626" w:themeColor="text1" w:themeTint="D9"/>
          <w:sz w:val="21"/>
          <w:szCs w:val="21"/>
        </w:rPr>
      </w:pPr>
      <w:r w:rsidRPr="000D330E">
        <w:rPr>
          <w:rFonts w:ascii="Arial" w:hAnsi="Arial" w:cs="Arial"/>
          <w:color w:val="262626" w:themeColor="text1" w:themeTint="D9"/>
          <w:sz w:val="21"/>
          <w:szCs w:val="21"/>
        </w:rPr>
        <w:t>Wherefore, the judgment appealed from is affirmed, with costs against petitioners.</w:t>
      </w:r>
    </w:p>
    <w:p w:rsidR="002C383A" w:rsidRPr="000D330E" w:rsidRDefault="002C383A" w:rsidP="002C383A">
      <w:pPr>
        <w:pStyle w:val="NormalWeb"/>
        <w:shd w:val="clear" w:color="auto" w:fill="FFFFFF"/>
        <w:rPr>
          <w:rFonts w:ascii="Arial" w:hAnsi="Arial" w:cs="Arial"/>
          <w:color w:val="262626" w:themeColor="text1" w:themeTint="D9"/>
          <w:sz w:val="21"/>
          <w:szCs w:val="21"/>
        </w:rPr>
      </w:pPr>
      <w:proofErr w:type="spellStart"/>
      <w:r w:rsidRPr="000D330E">
        <w:rPr>
          <w:rFonts w:ascii="Arial" w:hAnsi="Arial" w:cs="Arial"/>
          <w:i/>
          <w:iCs/>
          <w:color w:val="262626" w:themeColor="text1" w:themeTint="D9"/>
          <w:sz w:val="21"/>
          <w:szCs w:val="21"/>
        </w:rPr>
        <w:t>Bengzon</w:t>
      </w:r>
      <w:proofErr w:type="spellEnd"/>
      <w:r w:rsidRPr="000D330E">
        <w:rPr>
          <w:rFonts w:ascii="Arial" w:hAnsi="Arial" w:cs="Arial"/>
          <w:i/>
          <w:iCs/>
          <w:color w:val="262626" w:themeColor="text1" w:themeTint="D9"/>
          <w:sz w:val="21"/>
          <w:szCs w:val="21"/>
        </w:rPr>
        <w:t xml:space="preserve">, C.J., Bautista Angelo, Concepcion, Reyes, J.B.L., Barrera, </w:t>
      </w:r>
      <w:proofErr w:type="spellStart"/>
      <w:r w:rsidRPr="000D330E">
        <w:rPr>
          <w:rFonts w:ascii="Arial" w:hAnsi="Arial" w:cs="Arial"/>
          <w:i/>
          <w:iCs/>
          <w:color w:val="262626" w:themeColor="text1" w:themeTint="D9"/>
          <w:sz w:val="21"/>
          <w:szCs w:val="21"/>
        </w:rPr>
        <w:t>Dizon</w:t>
      </w:r>
      <w:proofErr w:type="spellEnd"/>
      <w:r w:rsidRPr="000D330E">
        <w:rPr>
          <w:rFonts w:ascii="Arial" w:hAnsi="Arial" w:cs="Arial"/>
          <w:i/>
          <w:iCs/>
          <w:color w:val="262626" w:themeColor="text1" w:themeTint="D9"/>
          <w:sz w:val="21"/>
          <w:szCs w:val="21"/>
        </w:rPr>
        <w:t xml:space="preserve">, </w:t>
      </w:r>
      <w:proofErr w:type="spellStart"/>
      <w:r w:rsidRPr="000D330E">
        <w:rPr>
          <w:rFonts w:ascii="Arial" w:hAnsi="Arial" w:cs="Arial"/>
          <w:i/>
          <w:iCs/>
          <w:color w:val="262626" w:themeColor="text1" w:themeTint="D9"/>
          <w:sz w:val="21"/>
          <w:szCs w:val="21"/>
        </w:rPr>
        <w:t>Regala</w:t>
      </w:r>
      <w:proofErr w:type="spellEnd"/>
      <w:r w:rsidRPr="000D330E">
        <w:rPr>
          <w:rFonts w:ascii="Arial" w:hAnsi="Arial" w:cs="Arial"/>
          <w:i/>
          <w:iCs/>
          <w:color w:val="262626" w:themeColor="text1" w:themeTint="D9"/>
          <w:sz w:val="21"/>
          <w:szCs w:val="21"/>
        </w:rPr>
        <w:t xml:space="preserve">, </w:t>
      </w:r>
      <w:proofErr w:type="spellStart"/>
      <w:r w:rsidRPr="000D330E">
        <w:rPr>
          <w:rFonts w:ascii="Arial" w:hAnsi="Arial" w:cs="Arial"/>
          <w:i/>
          <w:iCs/>
          <w:color w:val="262626" w:themeColor="text1" w:themeTint="D9"/>
          <w:sz w:val="21"/>
          <w:szCs w:val="21"/>
        </w:rPr>
        <w:t>Bengzon</w:t>
      </w:r>
      <w:proofErr w:type="spellEnd"/>
      <w:r w:rsidRPr="000D330E">
        <w:rPr>
          <w:rFonts w:ascii="Arial" w:hAnsi="Arial" w:cs="Arial"/>
          <w:i/>
          <w:iCs/>
          <w:color w:val="262626" w:themeColor="text1" w:themeTint="D9"/>
          <w:sz w:val="21"/>
          <w:szCs w:val="21"/>
        </w:rPr>
        <w:t xml:space="preserve">, J.P., </w:t>
      </w:r>
      <w:proofErr w:type="spellStart"/>
      <w:r w:rsidRPr="000D330E">
        <w:rPr>
          <w:rFonts w:ascii="Arial" w:hAnsi="Arial" w:cs="Arial"/>
          <w:i/>
          <w:iCs/>
          <w:color w:val="262626" w:themeColor="text1" w:themeTint="D9"/>
          <w:sz w:val="21"/>
          <w:szCs w:val="21"/>
        </w:rPr>
        <w:t>Zaldivar</w:t>
      </w:r>
      <w:proofErr w:type="spellEnd"/>
      <w:r w:rsidRPr="000D330E">
        <w:rPr>
          <w:rFonts w:ascii="Arial" w:hAnsi="Arial" w:cs="Arial"/>
          <w:i/>
          <w:iCs/>
          <w:color w:val="262626" w:themeColor="text1" w:themeTint="D9"/>
          <w:sz w:val="21"/>
          <w:szCs w:val="21"/>
        </w:rPr>
        <w:t xml:space="preserve"> and Sanchez, </w:t>
      </w:r>
      <w:proofErr w:type="gramStart"/>
      <w:r w:rsidRPr="000D330E">
        <w:rPr>
          <w:rFonts w:ascii="Arial" w:hAnsi="Arial" w:cs="Arial"/>
          <w:i/>
          <w:iCs/>
          <w:color w:val="262626" w:themeColor="text1" w:themeTint="D9"/>
          <w:sz w:val="21"/>
          <w:szCs w:val="21"/>
        </w:rPr>
        <w:t>JJ.,</w:t>
      </w:r>
      <w:proofErr w:type="gramEnd"/>
      <w:r w:rsidRPr="000D330E">
        <w:rPr>
          <w:rFonts w:ascii="Arial" w:hAnsi="Arial" w:cs="Arial"/>
          <w:i/>
          <w:iCs/>
          <w:color w:val="262626" w:themeColor="text1" w:themeTint="D9"/>
          <w:sz w:val="21"/>
          <w:szCs w:val="21"/>
        </w:rPr>
        <w:t xml:space="preserve"> concur.</w:t>
      </w:r>
    </w:p>
    <w:p w:rsidR="0018460D" w:rsidRPr="000D330E" w:rsidRDefault="000D330E" w:rsidP="002C383A">
      <w:pPr>
        <w:rPr>
          <w:color w:val="262626" w:themeColor="text1" w:themeTint="D9"/>
        </w:rPr>
      </w:pPr>
    </w:p>
    <w:sectPr w:rsidR="0018460D" w:rsidRPr="000D330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83A"/>
    <w:rsid w:val="000D330E"/>
    <w:rsid w:val="00182455"/>
    <w:rsid w:val="002C383A"/>
    <w:rsid w:val="0083325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383A"/>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2C383A"/>
    <w:rPr>
      <w:b/>
      <w:bCs/>
    </w:rPr>
  </w:style>
  <w:style w:type="character" w:styleId="Emphasis">
    <w:name w:val="Emphasis"/>
    <w:basedOn w:val="DefaultParagraphFont"/>
    <w:uiPriority w:val="20"/>
    <w:qFormat/>
    <w:rsid w:val="002C383A"/>
    <w:rPr>
      <w:i/>
      <w:iCs/>
    </w:rPr>
  </w:style>
  <w:style w:type="character" w:styleId="HTMLCite">
    <w:name w:val="HTML Cite"/>
    <w:basedOn w:val="DefaultParagraphFont"/>
    <w:uiPriority w:val="99"/>
    <w:semiHidden/>
    <w:unhideWhenUsed/>
    <w:rsid w:val="002C383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383A"/>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2C383A"/>
    <w:rPr>
      <w:b/>
      <w:bCs/>
    </w:rPr>
  </w:style>
  <w:style w:type="character" w:styleId="Emphasis">
    <w:name w:val="Emphasis"/>
    <w:basedOn w:val="DefaultParagraphFont"/>
    <w:uiPriority w:val="20"/>
    <w:qFormat/>
    <w:rsid w:val="002C383A"/>
    <w:rPr>
      <w:i/>
      <w:iCs/>
    </w:rPr>
  </w:style>
  <w:style w:type="character" w:styleId="HTMLCite">
    <w:name w:val="HTML Cite"/>
    <w:basedOn w:val="DefaultParagraphFont"/>
    <w:uiPriority w:val="99"/>
    <w:semiHidden/>
    <w:unhideWhenUsed/>
    <w:rsid w:val="002C38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655130">
      <w:bodyDiv w:val="1"/>
      <w:marLeft w:val="0"/>
      <w:marRight w:val="0"/>
      <w:marTop w:val="0"/>
      <w:marBottom w:val="0"/>
      <w:divBdr>
        <w:top w:val="none" w:sz="0" w:space="0" w:color="auto"/>
        <w:left w:val="none" w:sz="0" w:space="0" w:color="auto"/>
        <w:bottom w:val="none" w:sz="0" w:space="0" w:color="auto"/>
        <w:right w:val="none" w:sz="0" w:space="0" w:color="auto"/>
      </w:divBdr>
    </w:div>
    <w:div w:id="763766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599</Words>
  <Characters>3416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2019-08-28T08:45:00Z</dcterms:created>
  <dcterms:modified xsi:type="dcterms:W3CDTF">2019-08-28T08:58:00Z</dcterms:modified>
</cp:coreProperties>
</file>