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687" w:rsidRPr="00884687" w:rsidRDefault="00884687" w:rsidP="00884687">
      <w:pPr>
        <w:shd w:val="clear" w:color="auto" w:fill="FFFFFF"/>
        <w:spacing w:before="100" w:beforeAutospacing="1" w:after="100" w:afterAutospacing="1" w:line="240" w:lineRule="auto"/>
        <w:jc w:val="center"/>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FIRST DIVISION</w:t>
      </w:r>
    </w:p>
    <w:p w:rsidR="00884687" w:rsidRPr="00884687" w:rsidRDefault="00884687" w:rsidP="00884687">
      <w:pPr>
        <w:shd w:val="clear" w:color="auto" w:fill="FFFFFF"/>
        <w:spacing w:before="100" w:beforeAutospacing="1" w:after="100" w:afterAutospacing="1" w:line="240" w:lineRule="auto"/>
        <w:jc w:val="center"/>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 xml:space="preserve">[G.R. NO. </w:t>
      </w:r>
      <w:proofErr w:type="gramStart"/>
      <w:r w:rsidRPr="00884687">
        <w:rPr>
          <w:rFonts w:ascii="Verdana" w:eastAsia="Times New Roman" w:hAnsi="Verdana" w:cs="Times New Roman"/>
          <w:b/>
          <w:bCs/>
          <w:color w:val="333333"/>
          <w:sz w:val="17"/>
          <w:szCs w:val="17"/>
          <w:lang w:eastAsia="en-PH"/>
        </w:rPr>
        <w:t>147188 :</w:t>
      </w:r>
      <w:proofErr w:type="gramEnd"/>
      <w:r w:rsidRPr="00884687">
        <w:rPr>
          <w:rFonts w:ascii="Verdana" w:eastAsia="Times New Roman" w:hAnsi="Verdana" w:cs="Times New Roman"/>
          <w:b/>
          <w:bCs/>
          <w:color w:val="333333"/>
          <w:sz w:val="17"/>
          <w:szCs w:val="17"/>
          <w:lang w:eastAsia="en-PH"/>
        </w:rPr>
        <w:t xml:space="preserve"> September 14, 2004]</w:t>
      </w:r>
    </w:p>
    <w:p w:rsidR="00884687" w:rsidRPr="00884687" w:rsidRDefault="00884687" w:rsidP="00884687">
      <w:pPr>
        <w:shd w:val="clear" w:color="auto" w:fill="FFFFFF"/>
        <w:spacing w:before="100" w:beforeAutospacing="1" w:after="100" w:afterAutospacing="1" w:line="240" w:lineRule="auto"/>
        <w:jc w:val="center"/>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COMMISSIONER OF INTERNAL REVENUE,</w:t>
      </w:r>
      <w:r w:rsidRPr="00884687">
        <w:rPr>
          <w:rFonts w:ascii="Verdana" w:eastAsia="Times New Roman" w:hAnsi="Verdana" w:cs="Times New Roman"/>
          <w:color w:val="333333"/>
          <w:sz w:val="17"/>
          <w:szCs w:val="17"/>
          <w:lang w:eastAsia="en-PH"/>
        </w:rPr>
        <w:t> </w:t>
      </w:r>
      <w:r w:rsidRPr="00884687">
        <w:rPr>
          <w:rFonts w:ascii="Verdana" w:eastAsia="Times New Roman" w:hAnsi="Verdana" w:cs="Times New Roman"/>
          <w:i/>
          <w:iCs/>
          <w:color w:val="333333"/>
          <w:sz w:val="17"/>
          <w:szCs w:val="17"/>
          <w:lang w:eastAsia="en-PH"/>
        </w:rPr>
        <w:t>Petitioner</w:t>
      </w:r>
      <w:r w:rsidRPr="00884687">
        <w:rPr>
          <w:rFonts w:ascii="Verdana" w:eastAsia="Times New Roman" w:hAnsi="Verdana" w:cs="Times New Roman"/>
          <w:color w:val="333333"/>
          <w:sz w:val="17"/>
          <w:szCs w:val="17"/>
          <w:lang w:eastAsia="en-PH"/>
        </w:rPr>
        <w:t>, </w:t>
      </w:r>
      <w:r w:rsidRPr="00884687">
        <w:rPr>
          <w:rFonts w:ascii="Verdana" w:eastAsia="Times New Roman" w:hAnsi="Verdana" w:cs="Times New Roman"/>
          <w:i/>
          <w:iCs/>
          <w:color w:val="333333"/>
          <w:sz w:val="17"/>
          <w:szCs w:val="17"/>
          <w:lang w:eastAsia="en-PH"/>
        </w:rPr>
        <w:t>v.</w:t>
      </w:r>
      <w:r w:rsidRPr="00884687">
        <w:rPr>
          <w:rFonts w:ascii="Verdana" w:eastAsia="Times New Roman" w:hAnsi="Verdana" w:cs="Times New Roman"/>
          <w:color w:val="333333"/>
          <w:sz w:val="17"/>
          <w:szCs w:val="17"/>
          <w:lang w:eastAsia="en-PH"/>
        </w:rPr>
        <w:t> </w:t>
      </w:r>
      <w:r w:rsidRPr="00884687">
        <w:rPr>
          <w:rFonts w:ascii="Verdana" w:eastAsia="Times New Roman" w:hAnsi="Verdana" w:cs="Times New Roman"/>
          <w:b/>
          <w:bCs/>
          <w:color w:val="333333"/>
          <w:sz w:val="17"/>
          <w:szCs w:val="17"/>
          <w:lang w:eastAsia="en-PH"/>
        </w:rPr>
        <w:t xml:space="preserve">THE ESTATE OF BENIGNO P. TODA, JR., Represented by Special Co-administrators Lorna </w:t>
      </w:r>
      <w:proofErr w:type="spellStart"/>
      <w:r w:rsidRPr="00884687">
        <w:rPr>
          <w:rFonts w:ascii="Verdana" w:eastAsia="Times New Roman" w:hAnsi="Verdana" w:cs="Times New Roman"/>
          <w:b/>
          <w:bCs/>
          <w:color w:val="333333"/>
          <w:sz w:val="17"/>
          <w:szCs w:val="17"/>
          <w:lang w:eastAsia="en-PH"/>
        </w:rPr>
        <w:t>Kapunan</w:t>
      </w:r>
      <w:proofErr w:type="spellEnd"/>
      <w:r w:rsidRPr="00884687">
        <w:rPr>
          <w:rFonts w:ascii="Verdana" w:eastAsia="Times New Roman" w:hAnsi="Verdana" w:cs="Times New Roman"/>
          <w:b/>
          <w:bCs/>
          <w:color w:val="333333"/>
          <w:sz w:val="17"/>
          <w:szCs w:val="17"/>
          <w:lang w:eastAsia="en-PH"/>
        </w:rPr>
        <w:t xml:space="preserve"> and Mario </w:t>
      </w:r>
      <w:proofErr w:type="spellStart"/>
      <w:r w:rsidRPr="00884687">
        <w:rPr>
          <w:rFonts w:ascii="Verdana" w:eastAsia="Times New Roman" w:hAnsi="Verdana" w:cs="Times New Roman"/>
          <w:b/>
          <w:bCs/>
          <w:color w:val="333333"/>
          <w:sz w:val="17"/>
          <w:szCs w:val="17"/>
          <w:lang w:eastAsia="en-PH"/>
        </w:rPr>
        <w:t>Luza</w:t>
      </w:r>
      <w:proofErr w:type="spellEnd"/>
      <w:r w:rsidRPr="00884687">
        <w:rPr>
          <w:rFonts w:ascii="Verdana" w:eastAsia="Times New Roman" w:hAnsi="Verdana" w:cs="Times New Roman"/>
          <w:b/>
          <w:bCs/>
          <w:color w:val="333333"/>
          <w:sz w:val="17"/>
          <w:szCs w:val="17"/>
          <w:lang w:eastAsia="en-PH"/>
        </w:rPr>
        <w:t xml:space="preserve"> Bautista,</w:t>
      </w:r>
      <w:r w:rsidRPr="00884687">
        <w:rPr>
          <w:rFonts w:ascii="Verdana" w:eastAsia="Times New Roman" w:hAnsi="Verdana" w:cs="Times New Roman"/>
          <w:color w:val="333333"/>
          <w:sz w:val="17"/>
          <w:szCs w:val="17"/>
          <w:lang w:eastAsia="en-PH"/>
        </w:rPr>
        <w:t> </w:t>
      </w:r>
      <w:r w:rsidRPr="00884687">
        <w:rPr>
          <w:rFonts w:ascii="Verdana" w:eastAsia="Times New Roman" w:hAnsi="Verdana" w:cs="Times New Roman"/>
          <w:i/>
          <w:iCs/>
          <w:color w:val="333333"/>
          <w:sz w:val="17"/>
          <w:szCs w:val="17"/>
          <w:lang w:eastAsia="en-PH"/>
        </w:rPr>
        <w:t>Respondents</w:t>
      </w:r>
      <w:r w:rsidRPr="00884687">
        <w:rPr>
          <w:rFonts w:ascii="Verdana" w:eastAsia="Times New Roman" w:hAnsi="Verdana" w:cs="Times New Roman"/>
          <w:color w:val="333333"/>
          <w:sz w:val="17"/>
          <w:szCs w:val="17"/>
          <w:lang w:eastAsia="en-PH"/>
        </w:rPr>
        <w:t>.</w:t>
      </w:r>
    </w:p>
    <w:p w:rsidR="00884687" w:rsidRPr="00884687" w:rsidRDefault="00884687" w:rsidP="00884687">
      <w:pPr>
        <w:shd w:val="clear" w:color="auto" w:fill="FFFFFF"/>
        <w:spacing w:before="100" w:beforeAutospacing="1" w:after="100" w:afterAutospacing="1" w:line="240" w:lineRule="auto"/>
        <w:jc w:val="center"/>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D E C I S I O N</w:t>
      </w:r>
    </w:p>
    <w:p w:rsidR="00884687" w:rsidRPr="00884687" w:rsidRDefault="00884687" w:rsidP="00884687">
      <w:pPr>
        <w:shd w:val="clear" w:color="auto" w:fill="FFFFFF"/>
        <w:spacing w:before="100" w:beforeAutospacing="1" w:after="100" w:afterAutospacing="1" w:line="240" w:lineRule="auto"/>
        <w:jc w:val="right"/>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DAVIDE, JR., </w:t>
      </w:r>
      <w:r w:rsidRPr="00884687">
        <w:rPr>
          <w:rFonts w:ascii="Verdana" w:eastAsia="Times New Roman" w:hAnsi="Verdana" w:cs="Times New Roman"/>
          <w:b/>
          <w:bCs/>
          <w:i/>
          <w:iCs/>
          <w:color w:val="333333"/>
          <w:sz w:val="17"/>
          <w:szCs w:val="17"/>
          <w:lang w:eastAsia="en-PH"/>
        </w:rPr>
        <w:t>C.J.</w:t>
      </w:r>
      <w:r w:rsidRPr="00884687">
        <w:rPr>
          <w:rFonts w:ascii="Verdana" w:eastAsia="Times New Roman" w:hAnsi="Verdana" w:cs="Times New Roman"/>
          <w:b/>
          <w:bCs/>
          <w:color w:val="333333"/>
          <w:sz w:val="17"/>
          <w:szCs w:val="17"/>
          <w:lang w:eastAsia="en-PH"/>
        </w:rPr>
        <w:t>:</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This Court is called upon to determine in this case whether the tax planning scheme adopted by a corporation constitutes tax evasion that would justify an assessment of deficiency income tax.</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The petitioner seeks the reversal of the Decision</w:t>
      </w:r>
      <w:r w:rsidRPr="00884687">
        <w:rPr>
          <w:rFonts w:ascii="Verdana" w:eastAsia="Times New Roman" w:hAnsi="Verdana" w:cs="Times New Roman"/>
          <w:color w:val="333333"/>
          <w:sz w:val="17"/>
          <w:szCs w:val="17"/>
          <w:vertAlign w:val="superscript"/>
          <w:lang w:eastAsia="en-PH"/>
        </w:rPr>
        <w:t>1</w:t>
      </w:r>
      <w:r w:rsidRPr="00884687">
        <w:rPr>
          <w:rFonts w:ascii="Verdana" w:eastAsia="Times New Roman" w:hAnsi="Verdana" w:cs="Times New Roman"/>
          <w:color w:val="333333"/>
          <w:sz w:val="17"/>
          <w:szCs w:val="17"/>
          <w:lang w:eastAsia="en-PH"/>
        </w:rPr>
        <w:t> of the Court of Appeals of 31 January 2001 in CA-G.R. SP No. 57799 affirming the 3 January 2000 Decision</w:t>
      </w:r>
      <w:r w:rsidRPr="00884687">
        <w:rPr>
          <w:rFonts w:ascii="Verdana" w:eastAsia="Times New Roman" w:hAnsi="Verdana" w:cs="Times New Roman"/>
          <w:color w:val="333333"/>
          <w:sz w:val="17"/>
          <w:szCs w:val="17"/>
          <w:vertAlign w:val="superscript"/>
          <w:lang w:eastAsia="en-PH"/>
        </w:rPr>
        <w:t>2</w:t>
      </w:r>
      <w:r w:rsidRPr="00884687">
        <w:rPr>
          <w:rFonts w:ascii="Verdana" w:eastAsia="Times New Roman" w:hAnsi="Verdana" w:cs="Times New Roman"/>
          <w:color w:val="333333"/>
          <w:sz w:val="17"/>
          <w:szCs w:val="17"/>
          <w:lang w:eastAsia="en-PH"/>
        </w:rPr>
        <w:t> of the Court of Tax Appeals (CTA) in C.T.A. Case No. 5328,</w:t>
      </w:r>
      <w:r w:rsidRPr="00884687">
        <w:rPr>
          <w:rFonts w:ascii="Verdana" w:eastAsia="Times New Roman" w:hAnsi="Verdana" w:cs="Times New Roman"/>
          <w:color w:val="333333"/>
          <w:sz w:val="17"/>
          <w:szCs w:val="17"/>
          <w:vertAlign w:val="superscript"/>
          <w:lang w:eastAsia="en-PH"/>
        </w:rPr>
        <w:t>3</w:t>
      </w:r>
      <w:r w:rsidRPr="00884687">
        <w:rPr>
          <w:rFonts w:ascii="Verdana" w:eastAsia="Times New Roman" w:hAnsi="Verdana" w:cs="Times New Roman"/>
          <w:color w:val="333333"/>
          <w:sz w:val="17"/>
          <w:szCs w:val="17"/>
          <w:lang w:eastAsia="en-PH"/>
        </w:rPr>
        <w:t xml:space="preserve"> which held that the respondent Estate of </w:t>
      </w:r>
      <w:proofErr w:type="spellStart"/>
      <w:r w:rsidRPr="00884687">
        <w:rPr>
          <w:rFonts w:ascii="Verdana" w:eastAsia="Times New Roman" w:hAnsi="Verdana" w:cs="Times New Roman"/>
          <w:color w:val="333333"/>
          <w:sz w:val="17"/>
          <w:szCs w:val="17"/>
          <w:lang w:eastAsia="en-PH"/>
        </w:rPr>
        <w:t>Benigno</w:t>
      </w:r>
      <w:proofErr w:type="spellEnd"/>
      <w:r w:rsidRPr="00884687">
        <w:rPr>
          <w:rFonts w:ascii="Verdana" w:eastAsia="Times New Roman" w:hAnsi="Verdana" w:cs="Times New Roman"/>
          <w:color w:val="333333"/>
          <w:sz w:val="17"/>
          <w:szCs w:val="17"/>
          <w:lang w:eastAsia="en-PH"/>
        </w:rPr>
        <w:t xml:space="preserve"> P. Toda, Jr. is not liable for the deficiency income tax of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Insurance Corporation (CIC) in the amount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 xml:space="preserve">79,099,999.22 for the year 1989, and ordered the cancellation and setting aside of the assessment issued by Commissioner of Internal Revenue </w:t>
      </w:r>
      <w:proofErr w:type="spellStart"/>
      <w:r w:rsidRPr="00884687">
        <w:rPr>
          <w:rFonts w:ascii="Verdana" w:eastAsia="Times New Roman" w:hAnsi="Verdana" w:cs="Times New Roman"/>
          <w:color w:val="333333"/>
          <w:sz w:val="17"/>
          <w:szCs w:val="17"/>
          <w:lang w:eastAsia="en-PH"/>
        </w:rPr>
        <w:t>Liwayway</w:t>
      </w:r>
      <w:proofErr w:type="spellEnd"/>
      <w:r w:rsidRPr="00884687">
        <w:rPr>
          <w:rFonts w:ascii="Verdana" w:eastAsia="Times New Roman" w:hAnsi="Verdana" w:cs="Times New Roman"/>
          <w:color w:val="333333"/>
          <w:sz w:val="17"/>
          <w:szCs w:val="17"/>
          <w:lang w:eastAsia="en-PH"/>
        </w:rPr>
        <w:t xml:space="preserve"> </w:t>
      </w:r>
      <w:proofErr w:type="spellStart"/>
      <w:r w:rsidRPr="00884687">
        <w:rPr>
          <w:rFonts w:ascii="Verdana" w:eastAsia="Times New Roman" w:hAnsi="Verdana" w:cs="Times New Roman"/>
          <w:color w:val="333333"/>
          <w:sz w:val="17"/>
          <w:szCs w:val="17"/>
          <w:lang w:eastAsia="en-PH"/>
        </w:rPr>
        <w:t>Vinzons-Chato</w:t>
      </w:r>
      <w:proofErr w:type="spellEnd"/>
      <w:r w:rsidRPr="00884687">
        <w:rPr>
          <w:rFonts w:ascii="Verdana" w:eastAsia="Times New Roman" w:hAnsi="Verdana" w:cs="Times New Roman"/>
          <w:color w:val="333333"/>
          <w:sz w:val="17"/>
          <w:szCs w:val="17"/>
          <w:lang w:eastAsia="en-PH"/>
        </w:rPr>
        <w:t xml:space="preserve"> on 9 January 1995.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The case at bar stemmed from a Notice of Assessment sent to CIC by the Commissioner of Internal Revenue for deficiency income tax arising from an alleged simulated sale of a 16-storey commercial building known as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Building, situated on two parcels of land on Ayala Avenue, Makati City.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On 2 March 1989, CIC authorized </w:t>
      </w:r>
      <w:proofErr w:type="spellStart"/>
      <w:r w:rsidRPr="00884687">
        <w:rPr>
          <w:rFonts w:ascii="Verdana" w:eastAsia="Times New Roman" w:hAnsi="Verdana" w:cs="Times New Roman"/>
          <w:color w:val="333333"/>
          <w:sz w:val="17"/>
          <w:szCs w:val="17"/>
          <w:lang w:eastAsia="en-PH"/>
        </w:rPr>
        <w:t>Benigno</w:t>
      </w:r>
      <w:proofErr w:type="spellEnd"/>
      <w:r w:rsidRPr="00884687">
        <w:rPr>
          <w:rFonts w:ascii="Verdana" w:eastAsia="Times New Roman" w:hAnsi="Verdana" w:cs="Times New Roman"/>
          <w:color w:val="333333"/>
          <w:sz w:val="17"/>
          <w:szCs w:val="17"/>
          <w:lang w:eastAsia="en-PH"/>
        </w:rPr>
        <w:t xml:space="preserve"> P. Toda, Jr., President and owner of 99.991% of its issued and outstanding capital stock, to sell the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Building and the two parcels of land on which the building stands for an amount of not less than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90 million.</w:t>
      </w:r>
      <w:r w:rsidRPr="00884687">
        <w:rPr>
          <w:rFonts w:ascii="Verdana" w:eastAsia="Times New Roman" w:hAnsi="Verdana" w:cs="Times New Roman"/>
          <w:color w:val="333333"/>
          <w:sz w:val="17"/>
          <w:szCs w:val="17"/>
          <w:vertAlign w:val="superscript"/>
          <w:lang w:eastAsia="en-PH"/>
        </w:rPr>
        <w:t>4</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On 30 August 1989, Toda purportedly sold the property for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 xml:space="preserve">100 million to Rafael A.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who, in turn, sold the same property on the same day to Royal Match Inc. (RMI) for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200 million. These two transactions were evidenced by Deeds of Absolute Sale notarized on the same day by the same notary public.</w:t>
      </w:r>
      <w:r w:rsidRPr="00884687">
        <w:rPr>
          <w:rFonts w:ascii="Verdana" w:eastAsia="Times New Roman" w:hAnsi="Verdana" w:cs="Times New Roman"/>
          <w:color w:val="333333"/>
          <w:sz w:val="17"/>
          <w:szCs w:val="17"/>
          <w:vertAlign w:val="superscript"/>
          <w:lang w:eastAsia="en-PH"/>
        </w:rPr>
        <w:t>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For the sale of the property to RMI,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paid capital gains tax in the amount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10 million.</w:t>
      </w:r>
      <w:r w:rsidRPr="00884687">
        <w:rPr>
          <w:rFonts w:ascii="Verdana" w:eastAsia="Times New Roman" w:hAnsi="Verdana" w:cs="Times New Roman"/>
          <w:color w:val="333333"/>
          <w:sz w:val="17"/>
          <w:szCs w:val="17"/>
          <w:vertAlign w:val="superscript"/>
          <w:lang w:eastAsia="en-PH"/>
        </w:rPr>
        <w:t>6</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On 16 April 1990, CIC filed its corporate annual income tax return</w:t>
      </w:r>
      <w:r w:rsidRPr="00884687">
        <w:rPr>
          <w:rFonts w:ascii="Verdana" w:eastAsia="Times New Roman" w:hAnsi="Verdana" w:cs="Times New Roman"/>
          <w:color w:val="333333"/>
          <w:sz w:val="17"/>
          <w:szCs w:val="17"/>
          <w:vertAlign w:val="superscript"/>
          <w:lang w:eastAsia="en-PH"/>
        </w:rPr>
        <w:t>7</w:t>
      </w:r>
      <w:r w:rsidRPr="00884687">
        <w:rPr>
          <w:rFonts w:ascii="Verdana" w:eastAsia="Times New Roman" w:hAnsi="Verdana" w:cs="Times New Roman"/>
          <w:color w:val="333333"/>
          <w:sz w:val="17"/>
          <w:szCs w:val="17"/>
          <w:lang w:eastAsia="en-PH"/>
        </w:rPr>
        <w:t> for the year 1989, declaring, among other things, its gain from the sale of real property in the amount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75</w:t>
      </w:r>
      <w:proofErr w:type="gramStart"/>
      <w:r w:rsidRPr="00884687">
        <w:rPr>
          <w:rFonts w:ascii="Verdana" w:eastAsia="Times New Roman" w:hAnsi="Verdana" w:cs="Times New Roman"/>
          <w:color w:val="333333"/>
          <w:sz w:val="17"/>
          <w:szCs w:val="17"/>
          <w:lang w:eastAsia="en-PH"/>
        </w:rPr>
        <w:t>,728.021</w:t>
      </w:r>
      <w:proofErr w:type="gramEnd"/>
      <w:r w:rsidRPr="00884687">
        <w:rPr>
          <w:rFonts w:ascii="Verdana" w:eastAsia="Times New Roman" w:hAnsi="Verdana" w:cs="Times New Roman"/>
          <w:color w:val="333333"/>
          <w:sz w:val="17"/>
          <w:szCs w:val="17"/>
          <w:lang w:eastAsia="en-PH"/>
        </w:rPr>
        <w:t>. After crediting withholding taxes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254</w:t>
      </w:r>
      <w:proofErr w:type="gramStart"/>
      <w:r w:rsidRPr="00884687">
        <w:rPr>
          <w:rFonts w:ascii="Verdana" w:eastAsia="Times New Roman" w:hAnsi="Verdana" w:cs="Times New Roman"/>
          <w:color w:val="333333"/>
          <w:sz w:val="17"/>
          <w:szCs w:val="17"/>
          <w:lang w:eastAsia="en-PH"/>
        </w:rPr>
        <w:t>,497.00</w:t>
      </w:r>
      <w:proofErr w:type="gramEnd"/>
      <w:r w:rsidRPr="00884687">
        <w:rPr>
          <w:rFonts w:ascii="Verdana" w:eastAsia="Times New Roman" w:hAnsi="Verdana" w:cs="Times New Roman"/>
          <w:color w:val="333333"/>
          <w:sz w:val="17"/>
          <w:szCs w:val="17"/>
          <w:lang w:eastAsia="en-PH"/>
        </w:rPr>
        <w:t>, it paid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26,341,207</w:t>
      </w:r>
      <w:r w:rsidRPr="00884687">
        <w:rPr>
          <w:rFonts w:ascii="Verdana" w:eastAsia="Times New Roman" w:hAnsi="Verdana" w:cs="Times New Roman"/>
          <w:color w:val="333333"/>
          <w:sz w:val="17"/>
          <w:szCs w:val="17"/>
          <w:vertAlign w:val="superscript"/>
          <w:lang w:eastAsia="en-PH"/>
        </w:rPr>
        <w:t>8</w:t>
      </w:r>
      <w:r w:rsidRPr="00884687">
        <w:rPr>
          <w:rFonts w:ascii="Verdana" w:eastAsia="Times New Roman" w:hAnsi="Verdana" w:cs="Times New Roman"/>
          <w:color w:val="333333"/>
          <w:sz w:val="17"/>
          <w:szCs w:val="17"/>
          <w:lang w:eastAsia="en-PH"/>
        </w:rPr>
        <w:t> for its net taxable income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75,987,725.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On 12 July 1990, Toda sold his entire shares of stocks in CIC to Le Hun T. </w:t>
      </w:r>
      <w:proofErr w:type="spellStart"/>
      <w:r w:rsidRPr="00884687">
        <w:rPr>
          <w:rFonts w:ascii="Verdana" w:eastAsia="Times New Roman" w:hAnsi="Verdana" w:cs="Times New Roman"/>
          <w:color w:val="333333"/>
          <w:sz w:val="17"/>
          <w:szCs w:val="17"/>
          <w:lang w:eastAsia="en-PH"/>
        </w:rPr>
        <w:t>Choa</w:t>
      </w:r>
      <w:proofErr w:type="spellEnd"/>
      <w:r w:rsidRPr="00884687">
        <w:rPr>
          <w:rFonts w:ascii="Verdana" w:eastAsia="Times New Roman" w:hAnsi="Verdana" w:cs="Times New Roman"/>
          <w:color w:val="333333"/>
          <w:sz w:val="17"/>
          <w:szCs w:val="17"/>
          <w:lang w:eastAsia="en-PH"/>
        </w:rPr>
        <w:t xml:space="preserve"> for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12.5 million, as evidenced by a Deed of Sale of Shares of Stocks.</w:t>
      </w:r>
      <w:r w:rsidRPr="00884687">
        <w:rPr>
          <w:rFonts w:ascii="Verdana" w:eastAsia="Times New Roman" w:hAnsi="Verdana" w:cs="Times New Roman"/>
          <w:color w:val="333333"/>
          <w:sz w:val="17"/>
          <w:szCs w:val="17"/>
          <w:vertAlign w:val="superscript"/>
          <w:lang w:eastAsia="en-PH"/>
        </w:rPr>
        <w:t>9</w:t>
      </w:r>
      <w:r w:rsidRPr="00884687">
        <w:rPr>
          <w:rFonts w:ascii="Verdana" w:eastAsia="Times New Roman" w:hAnsi="Verdana" w:cs="Times New Roman"/>
          <w:color w:val="333333"/>
          <w:sz w:val="17"/>
          <w:szCs w:val="17"/>
          <w:lang w:eastAsia="en-PH"/>
        </w:rPr>
        <w:t> Three and a half years later, or on 16 January 1994, Toda died.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On 29 March 1994, the Bureau of Internal Revenue (BIR) sent an assessment notice</w:t>
      </w:r>
      <w:r w:rsidRPr="00884687">
        <w:rPr>
          <w:rFonts w:ascii="Verdana" w:eastAsia="Times New Roman" w:hAnsi="Verdana" w:cs="Times New Roman"/>
          <w:color w:val="333333"/>
          <w:sz w:val="17"/>
          <w:szCs w:val="17"/>
          <w:vertAlign w:val="superscript"/>
          <w:lang w:eastAsia="en-PH"/>
        </w:rPr>
        <w:t>10</w:t>
      </w:r>
      <w:r w:rsidRPr="00884687">
        <w:rPr>
          <w:rFonts w:ascii="Verdana" w:eastAsia="Times New Roman" w:hAnsi="Verdana" w:cs="Times New Roman"/>
          <w:color w:val="333333"/>
          <w:sz w:val="17"/>
          <w:szCs w:val="17"/>
          <w:lang w:eastAsia="en-PH"/>
        </w:rPr>
        <w:t> and demand letter to the CIC for deficiency income tax for the year 1989 in the amount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79</w:t>
      </w:r>
      <w:proofErr w:type="gramStart"/>
      <w:r w:rsidRPr="00884687">
        <w:rPr>
          <w:rFonts w:ascii="Verdana" w:eastAsia="Times New Roman" w:hAnsi="Verdana" w:cs="Times New Roman"/>
          <w:color w:val="333333"/>
          <w:sz w:val="17"/>
          <w:szCs w:val="17"/>
          <w:lang w:eastAsia="en-PH"/>
        </w:rPr>
        <w:t>,099,999.22</w:t>
      </w:r>
      <w:proofErr w:type="gramEnd"/>
      <w:r w:rsidRPr="00884687">
        <w:rPr>
          <w:rFonts w:ascii="Verdana" w:eastAsia="Times New Roman" w:hAnsi="Verdana" w:cs="Times New Roman"/>
          <w:color w:val="333333"/>
          <w:sz w:val="17"/>
          <w:szCs w:val="17"/>
          <w:lang w:eastAsia="en-PH"/>
        </w:rPr>
        <w:t>.</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The new CIC asked for a reconsideration, asserting that the assessment should be directed against the old CIC, and not against the new CIC, which is owned by an entirely different set of stockholders; moreover, Toda had undertaken to hold the buyer of his stockholdings and the CIC free from all tax liabilities for the fiscal years 1987-1989.</w:t>
      </w:r>
      <w:r w:rsidRPr="00884687">
        <w:rPr>
          <w:rFonts w:ascii="Verdana" w:eastAsia="Times New Roman" w:hAnsi="Verdana" w:cs="Times New Roman"/>
          <w:color w:val="333333"/>
          <w:sz w:val="17"/>
          <w:szCs w:val="17"/>
          <w:vertAlign w:val="superscript"/>
          <w:lang w:eastAsia="en-PH"/>
        </w:rPr>
        <w:t>11</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On 27 January 1995, the Estate of </w:t>
      </w:r>
      <w:proofErr w:type="spellStart"/>
      <w:r w:rsidRPr="00884687">
        <w:rPr>
          <w:rFonts w:ascii="Verdana" w:eastAsia="Times New Roman" w:hAnsi="Verdana" w:cs="Times New Roman"/>
          <w:color w:val="333333"/>
          <w:sz w:val="17"/>
          <w:szCs w:val="17"/>
          <w:lang w:eastAsia="en-PH"/>
        </w:rPr>
        <w:t>Benigno</w:t>
      </w:r>
      <w:proofErr w:type="spellEnd"/>
      <w:r w:rsidRPr="00884687">
        <w:rPr>
          <w:rFonts w:ascii="Verdana" w:eastAsia="Times New Roman" w:hAnsi="Verdana" w:cs="Times New Roman"/>
          <w:color w:val="333333"/>
          <w:sz w:val="17"/>
          <w:szCs w:val="17"/>
          <w:lang w:eastAsia="en-PH"/>
        </w:rPr>
        <w:t xml:space="preserve"> P. Toda, Jr., represented by special co-administrators Lorna </w:t>
      </w:r>
      <w:proofErr w:type="spellStart"/>
      <w:r w:rsidRPr="00884687">
        <w:rPr>
          <w:rFonts w:ascii="Verdana" w:eastAsia="Times New Roman" w:hAnsi="Verdana" w:cs="Times New Roman"/>
          <w:color w:val="333333"/>
          <w:sz w:val="17"/>
          <w:szCs w:val="17"/>
          <w:lang w:eastAsia="en-PH"/>
        </w:rPr>
        <w:t>Kapunan</w:t>
      </w:r>
      <w:proofErr w:type="spellEnd"/>
      <w:r w:rsidRPr="00884687">
        <w:rPr>
          <w:rFonts w:ascii="Verdana" w:eastAsia="Times New Roman" w:hAnsi="Verdana" w:cs="Times New Roman"/>
          <w:color w:val="333333"/>
          <w:sz w:val="17"/>
          <w:szCs w:val="17"/>
          <w:lang w:eastAsia="en-PH"/>
        </w:rPr>
        <w:t xml:space="preserve"> and Mario </w:t>
      </w:r>
      <w:proofErr w:type="spellStart"/>
      <w:r w:rsidRPr="00884687">
        <w:rPr>
          <w:rFonts w:ascii="Verdana" w:eastAsia="Times New Roman" w:hAnsi="Verdana" w:cs="Times New Roman"/>
          <w:color w:val="333333"/>
          <w:sz w:val="17"/>
          <w:szCs w:val="17"/>
          <w:lang w:eastAsia="en-PH"/>
        </w:rPr>
        <w:t>Luza</w:t>
      </w:r>
      <w:proofErr w:type="spellEnd"/>
      <w:r w:rsidRPr="00884687">
        <w:rPr>
          <w:rFonts w:ascii="Verdana" w:eastAsia="Times New Roman" w:hAnsi="Verdana" w:cs="Times New Roman"/>
          <w:color w:val="333333"/>
          <w:sz w:val="17"/>
          <w:szCs w:val="17"/>
          <w:lang w:eastAsia="en-PH"/>
        </w:rPr>
        <w:t xml:space="preserve"> Bautista, received a Notice of Assessment</w:t>
      </w:r>
      <w:r w:rsidRPr="00884687">
        <w:rPr>
          <w:rFonts w:ascii="Verdana" w:eastAsia="Times New Roman" w:hAnsi="Verdana" w:cs="Times New Roman"/>
          <w:color w:val="333333"/>
          <w:sz w:val="17"/>
          <w:szCs w:val="17"/>
          <w:vertAlign w:val="superscript"/>
          <w:lang w:eastAsia="en-PH"/>
        </w:rPr>
        <w:t>12</w:t>
      </w:r>
      <w:r w:rsidRPr="00884687">
        <w:rPr>
          <w:rFonts w:ascii="Verdana" w:eastAsia="Times New Roman" w:hAnsi="Verdana" w:cs="Times New Roman"/>
          <w:color w:val="333333"/>
          <w:sz w:val="17"/>
          <w:szCs w:val="17"/>
          <w:lang w:eastAsia="en-PH"/>
        </w:rPr>
        <w:t> dated 9 January 1995 from the Commissioner of Internal Revenue for deficiency income tax for the year 1989 in the amount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79</w:t>
      </w:r>
      <w:proofErr w:type="gramStart"/>
      <w:r w:rsidRPr="00884687">
        <w:rPr>
          <w:rFonts w:ascii="Verdana" w:eastAsia="Times New Roman" w:hAnsi="Verdana" w:cs="Times New Roman"/>
          <w:color w:val="333333"/>
          <w:sz w:val="17"/>
          <w:szCs w:val="17"/>
          <w:lang w:eastAsia="en-PH"/>
        </w:rPr>
        <w:t>,099,999.22</w:t>
      </w:r>
      <w:proofErr w:type="gramEnd"/>
      <w:r w:rsidRPr="00884687">
        <w:rPr>
          <w:rFonts w:ascii="Verdana" w:eastAsia="Times New Roman" w:hAnsi="Verdana" w:cs="Times New Roman"/>
          <w:color w:val="333333"/>
          <w:sz w:val="17"/>
          <w:szCs w:val="17"/>
          <w:lang w:eastAsia="en-PH"/>
        </w:rPr>
        <w:t>, computed as follows:</w:t>
      </w:r>
    </w:p>
    <w:tbl>
      <w:tblPr>
        <w:tblW w:w="9750" w:type="dxa"/>
        <w:tblCellSpacing w:w="0" w:type="dxa"/>
        <w:tblCellMar>
          <w:top w:w="75" w:type="dxa"/>
          <w:left w:w="75" w:type="dxa"/>
          <w:bottom w:w="75" w:type="dxa"/>
          <w:right w:w="75" w:type="dxa"/>
        </w:tblCellMar>
        <w:tblLook w:val="04A0" w:firstRow="1" w:lastRow="0" w:firstColumn="1" w:lastColumn="0" w:noHBand="0" w:noVBand="1"/>
      </w:tblPr>
      <w:tblGrid>
        <w:gridCol w:w="3787"/>
        <w:gridCol w:w="1976"/>
        <w:gridCol w:w="2178"/>
        <w:gridCol w:w="1809"/>
      </w:tblGrid>
      <w:tr w:rsidR="00884687" w:rsidRPr="00884687" w:rsidTr="00884687">
        <w:trPr>
          <w:gridAfter w:val="3"/>
          <w:wAfter w:w="1440" w:type="dxa"/>
          <w:tblCellSpacing w:w="0" w:type="dxa"/>
        </w:trPr>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lastRenderedPageBreak/>
              <w:t>Income Tax - 1989</w:t>
            </w:r>
          </w:p>
        </w:tc>
      </w:tr>
      <w:tr w:rsidR="00884687" w:rsidRPr="00884687" w:rsidTr="00884687">
        <w:trPr>
          <w:tblCellSpacing w:w="0" w:type="dxa"/>
        </w:trPr>
        <w:tc>
          <w:tcPr>
            <w:tcW w:w="0" w:type="auto"/>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Net Income per return</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75,987,725.00</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p>
        </w:tc>
      </w:tr>
      <w:tr w:rsidR="00884687" w:rsidRPr="00884687" w:rsidTr="00884687">
        <w:trPr>
          <w:tblCellSpacing w:w="0" w:type="dxa"/>
        </w:trPr>
        <w:tc>
          <w:tcPr>
            <w:tcW w:w="5250" w:type="dxa"/>
            <w:gridSpan w:val="2"/>
            <w:vAlign w:val="bottom"/>
            <w:hideMark/>
          </w:tcPr>
          <w:p w:rsidR="00884687" w:rsidRPr="00884687" w:rsidRDefault="00884687" w:rsidP="00884687">
            <w:pPr>
              <w:spacing w:beforeAutospacing="1" w:after="100" w:afterAutospacing="1"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Add: Additional gain on sale of real property taxable under ordinary corporate income but were substituted with individual capital gains(</w:t>
            </w: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200M - 100M)</w:t>
            </w:r>
          </w:p>
        </w:tc>
        <w:tc>
          <w:tcPr>
            <w:tcW w:w="0" w:type="auto"/>
            <w:vAlign w:val="bottom"/>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100,000,000.00</w:t>
            </w:r>
          </w:p>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pict>
                <v:rect id="_x0000_i1025" style="width:75pt;height:.75pt" o:hrpct="0" o:hralign="center" o:hrstd="t" o:hr="t" fillcolor="#a0a0a0" stroked="f"/>
              </w:pict>
            </w:r>
          </w:p>
        </w:tc>
        <w:tc>
          <w:tcPr>
            <w:tcW w:w="0" w:type="auto"/>
            <w:vAlign w:val="bottom"/>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Total Net Taxable Income per investigation</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175,987,725.00</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Tax Due thereof at 35%</w:t>
            </w:r>
          </w:p>
        </w:tc>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 61,595,703.75</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bookmarkStart w:id="0" w:name="_GoBack"/>
        <w:bookmarkEnd w:id="0"/>
      </w:tr>
      <w:tr w:rsidR="00884687" w:rsidRPr="00884687" w:rsidTr="00884687">
        <w:trPr>
          <w:tblCellSpacing w:w="0" w:type="dxa"/>
        </w:trPr>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Less: Payment already made</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1. Per return</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26,595,704.00</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bottom"/>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2. Thru Capital Gains Tax made </w:t>
            </w:r>
            <w:r w:rsidRPr="00884687">
              <w:rPr>
                <w:rFonts w:ascii="Verdana" w:eastAsia="Times New Roman" w:hAnsi="Verdana" w:cs="Times New Roman"/>
                <w:color w:val="333333"/>
                <w:sz w:val="16"/>
                <w:szCs w:val="16"/>
                <w:lang w:eastAsia="en-PH"/>
              </w:rPr>
              <w:br/>
              <w:t xml:space="preserve">by R.A. </w:t>
            </w:r>
            <w:proofErr w:type="spellStart"/>
            <w:r w:rsidRPr="00884687">
              <w:rPr>
                <w:rFonts w:ascii="Verdana" w:eastAsia="Times New Roman" w:hAnsi="Verdana" w:cs="Times New Roman"/>
                <w:color w:val="333333"/>
                <w:sz w:val="16"/>
                <w:szCs w:val="16"/>
                <w:lang w:eastAsia="en-PH"/>
              </w:rPr>
              <w:t>Altonaga</w:t>
            </w:r>
            <w:proofErr w:type="spellEnd"/>
          </w:p>
        </w:tc>
        <w:tc>
          <w:tcPr>
            <w:tcW w:w="0" w:type="auto"/>
            <w:vAlign w:val="bottom"/>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10,000,000.00</w:t>
            </w:r>
          </w:p>
        </w:tc>
        <w:tc>
          <w:tcPr>
            <w:tcW w:w="0" w:type="auto"/>
            <w:vAlign w:val="bottom"/>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36,595,704.00</w:t>
            </w:r>
          </w:p>
        </w:tc>
        <w:tc>
          <w:tcPr>
            <w:tcW w:w="0" w:type="auto"/>
            <w:vAlign w:val="bottom"/>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Balance of tax due</w:t>
            </w:r>
          </w:p>
        </w:tc>
      </w:tr>
      <w:tr w:rsidR="00884687" w:rsidRPr="00884687" w:rsidTr="00884687">
        <w:trPr>
          <w:tblCellSpacing w:w="0" w:type="dxa"/>
        </w:trPr>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pict>
                <v:rect id="_x0000_i1026" style="width:75pt;height:.75pt" o:hrpct="0" o:hralign="center" o:hrstd="t" o:hr="t" fillcolor="#a0a0a0" stroked="f"/>
              </w:pict>
            </w:r>
          </w:p>
          <w:p w:rsidR="00884687" w:rsidRPr="00884687" w:rsidRDefault="00884687" w:rsidP="00884687">
            <w:pPr>
              <w:spacing w:after="0" w:line="240" w:lineRule="auto"/>
              <w:rPr>
                <w:rFonts w:ascii="Verdana" w:eastAsia="Times New Roman" w:hAnsi="Verdana" w:cs="Times New Roman"/>
                <w:color w:val="333333"/>
                <w:sz w:val="16"/>
                <w:szCs w:val="16"/>
                <w:lang w:eastAsia="en-PH"/>
              </w:rPr>
            </w:pP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pict>
                <v:rect id="_x0000_i1027" style="width:75pt;height:.75pt" o:hrpct="0" o:hralign="center" o:hrstd="t" o:hr="t" fillcolor="#a0a0a0" stroked="f"/>
              </w:pict>
            </w:r>
          </w:p>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 24,999,999.75</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center"/>
            <w:hideMark/>
          </w:tcPr>
          <w:p w:rsidR="00884687" w:rsidRPr="00884687" w:rsidRDefault="00884687" w:rsidP="00884687">
            <w:pPr>
              <w:spacing w:after="10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Add: 50% Surcharge</w:t>
            </w:r>
          </w:p>
        </w:tc>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12,499,999.88</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gridSpan w:val="2"/>
            <w:hideMark/>
          </w:tcPr>
          <w:p w:rsidR="00884687" w:rsidRPr="00884687" w:rsidRDefault="00884687" w:rsidP="00884687">
            <w:pPr>
              <w:spacing w:after="10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25% Surcharge</w:t>
            </w:r>
          </w:p>
        </w:tc>
        <w:tc>
          <w:tcPr>
            <w:tcW w:w="0" w:type="auto"/>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6,249,999.94</w:t>
            </w:r>
          </w:p>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pict>
                <v:rect id="_x0000_i1028" style="width:75pt;height:.75pt" o:hrpct="0" o:hralign="center" o:hrstd="t" o:hr="t" fillcolor="#a0a0a0" stroked="f"/>
              </w:pict>
            </w:r>
          </w:p>
        </w:tc>
        <w:tc>
          <w:tcPr>
            <w:tcW w:w="0" w:type="auto"/>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gridSpan w:val="2"/>
            <w:vAlign w:val="center"/>
            <w:hideMark/>
          </w:tcPr>
          <w:p w:rsidR="00884687" w:rsidRPr="00884687" w:rsidRDefault="00884687" w:rsidP="00884687">
            <w:pPr>
              <w:spacing w:after="10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Total</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 43,749,999.57</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center"/>
            <w:hideMark/>
          </w:tcPr>
          <w:p w:rsidR="00884687" w:rsidRPr="00884687" w:rsidRDefault="00884687" w:rsidP="00884687">
            <w:pPr>
              <w:spacing w:after="10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Add: Interest 20% from</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4/16/90-4/30/94 (.808)</w:t>
            </w:r>
          </w:p>
        </w:tc>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35,349,999.65</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r w:rsidR="00884687" w:rsidRPr="00884687" w:rsidTr="00884687">
        <w:trPr>
          <w:tblCellSpacing w:w="0" w:type="dxa"/>
        </w:trPr>
        <w:tc>
          <w:tcPr>
            <w:tcW w:w="0" w:type="auto"/>
            <w:gridSpan w:val="2"/>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t>TOTAL AMT. DUE &amp; COLLECTIBLE</w:t>
            </w:r>
          </w:p>
        </w:tc>
        <w:tc>
          <w:tcPr>
            <w:tcW w:w="0" w:type="auto"/>
            <w:vAlign w:val="center"/>
            <w:hideMark/>
          </w:tcPr>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color w:val="333333"/>
                <w:sz w:val="16"/>
                <w:szCs w:val="16"/>
                <w:lang w:eastAsia="en-PH"/>
              </w:rPr>
              <w:pict>
                <v:rect id="_x0000_i1029" style="width:75pt;height:.75pt" o:hrpct="0" o:hralign="center" o:hrstd="t" o:hr="t" fillcolor="#a0a0a0" stroked="f"/>
              </w:pict>
            </w:r>
          </w:p>
          <w:p w:rsidR="00884687" w:rsidRPr="00884687" w:rsidRDefault="00884687" w:rsidP="00884687">
            <w:pPr>
              <w:spacing w:after="0" w:line="240" w:lineRule="auto"/>
              <w:rPr>
                <w:rFonts w:ascii="Verdana" w:eastAsia="Times New Roman" w:hAnsi="Verdana" w:cs="Times New Roman"/>
                <w:color w:val="333333"/>
                <w:sz w:val="16"/>
                <w:szCs w:val="16"/>
                <w:lang w:eastAsia="en-PH"/>
              </w:rPr>
            </w:pPr>
            <w:r w:rsidRPr="00884687">
              <w:rPr>
                <w:rFonts w:ascii="Verdana" w:eastAsia="Times New Roman" w:hAnsi="Verdana" w:cs="Times New Roman"/>
                <w:strike/>
                <w:color w:val="333333"/>
                <w:sz w:val="16"/>
                <w:szCs w:val="16"/>
                <w:lang w:eastAsia="en-PH"/>
              </w:rPr>
              <w:t>P</w:t>
            </w:r>
            <w:r w:rsidRPr="00884687">
              <w:rPr>
                <w:rFonts w:ascii="Verdana" w:eastAsia="Times New Roman" w:hAnsi="Verdana" w:cs="Times New Roman"/>
                <w:color w:val="333333"/>
                <w:sz w:val="16"/>
                <w:szCs w:val="16"/>
                <w:lang w:eastAsia="en-PH"/>
              </w:rPr>
              <w:t> 79,099,999.22</w:t>
            </w:r>
            <w:r w:rsidRPr="00884687">
              <w:rPr>
                <w:rFonts w:ascii="Verdana" w:eastAsia="Times New Roman" w:hAnsi="Verdana" w:cs="Times New Roman"/>
                <w:color w:val="333333"/>
                <w:sz w:val="16"/>
                <w:szCs w:val="16"/>
                <w:lang w:eastAsia="en-PH"/>
              </w:rPr>
              <w:br/>
              <w:t>==============</w:t>
            </w:r>
          </w:p>
        </w:tc>
        <w:tc>
          <w:tcPr>
            <w:tcW w:w="0" w:type="auto"/>
            <w:vAlign w:val="center"/>
            <w:hideMark/>
          </w:tcPr>
          <w:p w:rsidR="00884687" w:rsidRPr="00884687" w:rsidRDefault="00884687" w:rsidP="00884687">
            <w:pPr>
              <w:spacing w:after="0" w:line="240" w:lineRule="auto"/>
              <w:rPr>
                <w:rFonts w:ascii="Times New Roman" w:eastAsia="Times New Roman" w:hAnsi="Times New Roman" w:cs="Times New Roman"/>
                <w:sz w:val="16"/>
                <w:szCs w:val="16"/>
                <w:lang w:eastAsia="en-PH"/>
              </w:rPr>
            </w:pPr>
          </w:p>
        </w:tc>
      </w:tr>
    </w:tbl>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The Estate thereafter filed a letter of protest.</w:t>
      </w:r>
      <w:r w:rsidRPr="00884687">
        <w:rPr>
          <w:rFonts w:ascii="Verdana" w:eastAsia="Times New Roman" w:hAnsi="Verdana" w:cs="Times New Roman"/>
          <w:color w:val="333333"/>
          <w:sz w:val="17"/>
          <w:szCs w:val="17"/>
          <w:vertAlign w:val="superscript"/>
          <w:lang w:eastAsia="en-PH"/>
        </w:rPr>
        <w:t>13</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the letter dated 19 October 1995</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333333"/>
          <w:sz w:val="17"/>
          <w:szCs w:val="17"/>
          <w:vertAlign w:val="superscript"/>
          <w:lang w:eastAsia="en-PH"/>
        </w:rPr>
        <w:t>14</w:t>
      </w:r>
      <w:proofErr w:type="gramEnd"/>
      <w:r w:rsidRPr="00884687">
        <w:rPr>
          <w:rFonts w:ascii="Verdana" w:eastAsia="Times New Roman" w:hAnsi="Verdana" w:cs="Times New Roman"/>
          <w:color w:val="333333"/>
          <w:sz w:val="17"/>
          <w:szCs w:val="17"/>
          <w:lang w:eastAsia="en-PH"/>
        </w:rPr>
        <w:t> the Commissioner dismissed the protest, stating that a fraudulent scheme was deliberately perpetuated by the CIC wholly owned and controlled by Toda by covering up the additional gain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100 million, which resulted in the change in the income structure of the proceeds of the sale of the two parcels of land and the building thereon to an individual capital gains, thus evading the higher corporate income tax rate of 35%.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On 15 February 1996, the Estate filed a Petition for Review </w:t>
      </w:r>
      <w:r w:rsidRPr="00884687">
        <w:rPr>
          <w:rFonts w:ascii="Verdana" w:eastAsia="Times New Roman" w:hAnsi="Verdana" w:cs="Times New Roman"/>
          <w:color w:val="333333"/>
          <w:sz w:val="17"/>
          <w:szCs w:val="17"/>
          <w:vertAlign w:val="superscript"/>
          <w:lang w:eastAsia="en-PH"/>
        </w:rPr>
        <w:t>15</w:t>
      </w:r>
      <w:r w:rsidRPr="00884687">
        <w:rPr>
          <w:rFonts w:ascii="Verdana" w:eastAsia="Times New Roman" w:hAnsi="Verdana" w:cs="Times New Roman"/>
          <w:color w:val="333333"/>
          <w:sz w:val="17"/>
          <w:szCs w:val="17"/>
          <w:lang w:eastAsia="en-PH"/>
        </w:rPr>
        <w:t> with the CTA alleging that the Commissioner erred in holding the Estate liable for income tax deficiency; that the inference of fraud of the sale of the properties is unreasonable and unsupported; and that the right of the Commissioner to assess CIC had already prescribed.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his Answer</w:t>
      </w:r>
      <w:r w:rsidRPr="00884687">
        <w:rPr>
          <w:rFonts w:ascii="Verdana" w:eastAsia="Times New Roman" w:hAnsi="Verdana" w:cs="Times New Roman"/>
          <w:color w:val="333333"/>
          <w:sz w:val="17"/>
          <w:szCs w:val="17"/>
          <w:vertAlign w:val="superscript"/>
          <w:lang w:eastAsia="en-PH"/>
        </w:rPr>
        <w:t>16</w:t>
      </w:r>
      <w:r w:rsidRPr="00884687">
        <w:rPr>
          <w:rFonts w:ascii="Verdana" w:eastAsia="Times New Roman" w:hAnsi="Verdana" w:cs="Times New Roman"/>
          <w:color w:val="333333"/>
          <w:sz w:val="17"/>
          <w:szCs w:val="17"/>
          <w:lang w:eastAsia="en-PH"/>
        </w:rPr>
        <w:t> and Amended Answer</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333333"/>
          <w:sz w:val="17"/>
          <w:szCs w:val="17"/>
          <w:vertAlign w:val="superscript"/>
          <w:lang w:eastAsia="en-PH"/>
        </w:rPr>
        <w:t>17</w:t>
      </w:r>
      <w:proofErr w:type="gramEnd"/>
      <w:r w:rsidRPr="00884687">
        <w:rPr>
          <w:rFonts w:ascii="Verdana" w:eastAsia="Times New Roman" w:hAnsi="Verdana" w:cs="Times New Roman"/>
          <w:color w:val="333333"/>
          <w:sz w:val="17"/>
          <w:szCs w:val="17"/>
          <w:lang w:eastAsia="en-PH"/>
        </w:rPr>
        <w:t xml:space="preserve"> the Commissioner argued that the two transactions actually constituted a single sale of the property by CIC to RMI, and that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was neither the buyer of the property from CIC nor the seller of the same property to RMI. The additional gain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100 million (the difference between the second simulated sale for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200 million and the first simulated sale for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 xml:space="preserve">100 million) realized by CIC was taxed at the rate of only 5% purportedly as capital gains tax of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instead of at the rate of 35% as corporate income tax of CIC. The income tax return filed by CIC for 1989 with intent to evade payment of the tax was thus false or fraudulent. Since such falsity or fraud was discovered by the BIR only on 8 March 1991, the assessment issued on 9 January 1995 was well within the prescriptive period prescribed by Section 223 (a) of the National Internal Revenue Code of 1986, which provides that tax may be assessed within ten years from the discovery of the falsity or fraud. With the sale being tainted with fraud, the separate corporate personality of CIC should be disregarded. Toda, being the registered owner of the 99.991% shares of stock of CIC and the beneficial owner of the remaining 0.009% shares registered in the name of the individual directors of CIC, should be held liable for the deficiency income tax, especially </w:t>
      </w:r>
      <w:r w:rsidRPr="00884687">
        <w:rPr>
          <w:rFonts w:ascii="Verdana" w:eastAsia="Times New Roman" w:hAnsi="Verdana" w:cs="Times New Roman"/>
          <w:color w:val="333333"/>
          <w:sz w:val="17"/>
          <w:szCs w:val="17"/>
          <w:lang w:eastAsia="en-PH"/>
        </w:rPr>
        <w:lastRenderedPageBreak/>
        <w:t>because the gains realized from the sale were withdrawn by him as cash advances or paid to him as cash dividends. Since he is already dead, his estate shall answer for his liability.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its decision</w:t>
      </w:r>
      <w:r w:rsidRPr="00884687">
        <w:rPr>
          <w:rFonts w:ascii="Verdana" w:eastAsia="Times New Roman" w:hAnsi="Verdana" w:cs="Times New Roman"/>
          <w:color w:val="333333"/>
          <w:sz w:val="17"/>
          <w:szCs w:val="17"/>
          <w:vertAlign w:val="superscript"/>
          <w:lang w:eastAsia="en-PH"/>
        </w:rPr>
        <w:t>18</w:t>
      </w:r>
      <w:r w:rsidRPr="00884687">
        <w:rPr>
          <w:rFonts w:ascii="Verdana" w:eastAsia="Times New Roman" w:hAnsi="Verdana" w:cs="Times New Roman"/>
          <w:color w:val="333333"/>
          <w:sz w:val="17"/>
          <w:szCs w:val="17"/>
          <w:lang w:eastAsia="en-PH"/>
        </w:rPr>
        <w:t> of 3 January 2000, the CTA held that the Commissioner failed to prove that CIC committed fraud to deprive the government of the taxes due it. It ruled that even assuming that a pre-conceived scheme was adopted by CIC, the same constituted mere tax avoidance, and not tax evasion. There being no proof of fraudulent transaction, the applicable period for the BIR to assess CIC is that prescribed in Section 203 of the NIRC of 1986, which is three years after the last day prescribed by law for the filing of the return. Thus, the government's right to assess CIC prescribed on 15 April 1993. The assessment issued on 9 January 1995 was, therefore, no longer valid. The CTA also ruled that the mere ownership by Toda of 99.991% of the capital stock of CIC was not in itself sufficient ground for piercing the separate corporate personality of CIC. Hence, the CTA declared that the Estate is not liable for deficiency income tax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79</w:t>
      </w:r>
      <w:proofErr w:type="gramStart"/>
      <w:r w:rsidRPr="00884687">
        <w:rPr>
          <w:rFonts w:ascii="Verdana" w:eastAsia="Times New Roman" w:hAnsi="Verdana" w:cs="Times New Roman"/>
          <w:color w:val="333333"/>
          <w:sz w:val="17"/>
          <w:szCs w:val="17"/>
          <w:lang w:eastAsia="en-PH"/>
        </w:rPr>
        <w:t>,099,999.22</w:t>
      </w:r>
      <w:proofErr w:type="gramEnd"/>
      <w:r w:rsidRPr="00884687">
        <w:rPr>
          <w:rFonts w:ascii="Verdana" w:eastAsia="Times New Roman" w:hAnsi="Verdana" w:cs="Times New Roman"/>
          <w:color w:val="333333"/>
          <w:sz w:val="17"/>
          <w:szCs w:val="17"/>
          <w:lang w:eastAsia="en-PH"/>
        </w:rPr>
        <w:t xml:space="preserve"> and, accordingly, cancelled and set aside the assessment issued by the Commissioner on 9 January 1995.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its motion for reconsideration</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333333"/>
          <w:sz w:val="17"/>
          <w:szCs w:val="17"/>
          <w:vertAlign w:val="superscript"/>
          <w:lang w:eastAsia="en-PH"/>
        </w:rPr>
        <w:t>19</w:t>
      </w:r>
      <w:proofErr w:type="gramEnd"/>
      <w:r w:rsidRPr="00884687">
        <w:rPr>
          <w:rFonts w:ascii="Verdana" w:eastAsia="Times New Roman" w:hAnsi="Verdana" w:cs="Times New Roman"/>
          <w:color w:val="333333"/>
          <w:sz w:val="17"/>
          <w:szCs w:val="17"/>
          <w:lang w:eastAsia="en-PH"/>
        </w:rPr>
        <w:t xml:space="preserve"> the Commissioner insisted that the sale of the property owned by CIC was the result of the connivance between Toda and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She further alleged that the latter was a representative, dummy, and a close business associate of the former, having held his office in a property owned by CIC and derived his salary from a foreign corporation (</w:t>
      </w:r>
      <w:proofErr w:type="spellStart"/>
      <w:r w:rsidRPr="00884687">
        <w:rPr>
          <w:rFonts w:ascii="Verdana" w:eastAsia="Times New Roman" w:hAnsi="Verdana" w:cs="Times New Roman"/>
          <w:color w:val="333333"/>
          <w:sz w:val="17"/>
          <w:szCs w:val="17"/>
          <w:lang w:eastAsia="en-PH"/>
        </w:rPr>
        <w:t>Aerobin</w:t>
      </w:r>
      <w:proofErr w:type="spellEnd"/>
      <w:r w:rsidRPr="00884687">
        <w:rPr>
          <w:rFonts w:ascii="Verdana" w:eastAsia="Times New Roman" w:hAnsi="Verdana" w:cs="Times New Roman"/>
          <w:color w:val="333333"/>
          <w:sz w:val="17"/>
          <w:szCs w:val="17"/>
          <w:lang w:eastAsia="en-PH"/>
        </w:rPr>
        <w:t xml:space="preserve">, Inc.) duly owned by Toda for representation services rendered. </w:t>
      </w:r>
      <w:proofErr w:type="gramStart"/>
      <w:r w:rsidRPr="00884687">
        <w:rPr>
          <w:rFonts w:ascii="Verdana" w:eastAsia="Times New Roman" w:hAnsi="Verdana" w:cs="Times New Roman"/>
          <w:color w:val="333333"/>
          <w:sz w:val="17"/>
          <w:szCs w:val="17"/>
          <w:lang w:eastAsia="en-PH"/>
        </w:rPr>
        <w:t>The CTA denied</w:t>
      </w:r>
      <w:r w:rsidRPr="00884687">
        <w:rPr>
          <w:rFonts w:ascii="Verdana" w:eastAsia="Times New Roman" w:hAnsi="Verdana" w:cs="Times New Roman"/>
          <w:color w:val="333333"/>
          <w:sz w:val="17"/>
          <w:szCs w:val="17"/>
          <w:vertAlign w:val="superscript"/>
          <w:lang w:eastAsia="en-PH"/>
        </w:rPr>
        <w:t>20</w:t>
      </w:r>
      <w:r w:rsidRPr="00884687">
        <w:rPr>
          <w:rFonts w:ascii="Verdana" w:eastAsia="Times New Roman" w:hAnsi="Verdana" w:cs="Times New Roman"/>
          <w:color w:val="333333"/>
          <w:sz w:val="17"/>
          <w:szCs w:val="17"/>
          <w:lang w:eastAsia="en-PH"/>
        </w:rPr>
        <w:t> the motion for reconsideration, prompting the Commissioner to file a Petition for Review </w:t>
      </w:r>
      <w:r w:rsidRPr="00884687">
        <w:rPr>
          <w:rFonts w:ascii="Verdana" w:eastAsia="Times New Roman" w:hAnsi="Verdana" w:cs="Times New Roman"/>
          <w:color w:val="333333"/>
          <w:sz w:val="17"/>
          <w:szCs w:val="17"/>
          <w:vertAlign w:val="superscript"/>
          <w:lang w:eastAsia="en-PH"/>
        </w:rPr>
        <w:t>21</w:t>
      </w:r>
      <w:r w:rsidRPr="00884687">
        <w:rPr>
          <w:rFonts w:ascii="Verdana" w:eastAsia="Times New Roman" w:hAnsi="Verdana" w:cs="Times New Roman"/>
          <w:color w:val="333333"/>
          <w:sz w:val="17"/>
          <w:szCs w:val="17"/>
          <w:lang w:eastAsia="en-PH"/>
        </w:rPr>
        <w:t> with the Court of Appeals.</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its challenged Decision of 31 January 2001, the Court of Appeals affirmed the decision of the CTA, reasoning that the CTA, being more advantageously situated and having the necessary expertise in matters of taxation, is "better situated to determine the correctness, propriety, and legality of the income tax assessments assailed by the Toda Estate."</w:t>
      </w:r>
      <w:r w:rsidRPr="00884687">
        <w:rPr>
          <w:rFonts w:ascii="Verdana" w:eastAsia="Times New Roman" w:hAnsi="Verdana" w:cs="Times New Roman"/>
          <w:color w:val="333333"/>
          <w:sz w:val="17"/>
          <w:szCs w:val="17"/>
          <w:vertAlign w:val="superscript"/>
          <w:lang w:eastAsia="en-PH"/>
        </w:rPr>
        <w:t>22</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Unsatisfied with the decision of the Court of Appeals, the Commissioner filed the present petition invoking the following grounds:</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 THE COURT OF APPEALS ERRED IN HOLDING THAT RESPONDENT COMMITTED NO FRAUD WITH INTENT TO EVADE THE TAX ON THE SALE OF THE PROPERTIES OF CIBELES INSURANCE CORPORATION.</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II. THE COURT OF APPEALS ERRED IN NOT DISREGARDING THE SEPARATE CORPORATE PERSONALITY OF CIBELES INSURANCE CORPORATION.</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III. THE COURT OF APPEALS ERRED IN HOLDING THAT THE RIGHT OF PETITIONER TO ASSESS RESPONDENT FOR DEFICIENCY INCOME TAX FOR THE YEAR 1989 HAD PRESCRIBED.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The Commissioner reiterates her arguments in her previous pleadings and insists that the sale by CIC of the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property was in connivance with its dummy Rafael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who was financially incapable of purchasing it. She further points out that the documents themselves prove the fact of fraud in that (1) the two sales were done simultaneously on the same date, 30 August 1989; (2) the Deed of Absolute Sale between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and RMI was notarized ahead of the alleged sale between CIC and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with the former registered in the Notarial Register of Jocelyn H. </w:t>
      </w:r>
      <w:proofErr w:type="spellStart"/>
      <w:r w:rsidRPr="00884687">
        <w:rPr>
          <w:rFonts w:ascii="Verdana" w:eastAsia="Times New Roman" w:hAnsi="Verdana" w:cs="Times New Roman"/>
          <w:color w:val="333333"/>
          <w:sz w:val="17"/>
          <w:szCs w:val="17"/>
          <w:lang w:eastAsia="en-PH"/>
        </w:rPr>
        <w:t>Arreza</w:t>
      </w:r>
      <w:proofErr w:type="spellEnd"/>
      <w:r w:rsidRPr="00884687">
        <w:rPr>
          <w:rFonts w:ascii="Verdana" w:eastAsia="Times New Roman" w:hAnsi="Verdana" w:cs="Times New Roman"/>
          <w:color w:val="333333"/>
          <w:sz w:val="17"/>
          <w:szCs w:val="17"/>
          <w:lang w:eastAsia="en-PH"/>
        </w:rPr>
        <w:t xml:space="preserve"> </w:t>
      </w:r>
      <w:proofErr w:type="spellStart"/>
      <w:r w:rsidRPr="00884687">
        <w:rPr>
          <w:rFonts w:ascii="Verdana" w:eastAsia="Times New Roman" w:hAnsi="Verdana" w:cs="Times New Roman"/>
          <w:color w:val="333333"/>
          <w:sz w:val="17"/>
          <w:szCs w:val="17"/>
          <w:lang w:eastAsia="en-PH"/>
        </w:rPr>
        <w:t>Pabelana</w:t>
      </w:r>
      <w:proofErr w:type="spellEnd"/>
      <w:r w:rsidRPr="00884687">
        <w:rPr>
          <w:rFonts w:ascii="Verdana" w:eastAsia="Times New Roman" w:hAnsi="Verdana" w:cs="Times New Roman"/>
          <w:color w:val="333333"/>
          <w:sz w:val="17"/>
          <w:szCs w:val="17"/>
          <w:lang w:eastAsia="en-PH"/>
        </w:rPr>
        <w:t xml:space="preserve"> as Doc. </w:t>
      </w:r>
      <w:r w:rsidRPr="00884687">
        <w:rPr>
          <w:rFonts w:ascii="Verdana" w:eastAsia="Times New Roman" w:hAnsi="Verdana" w:cs="Times New Roman"/>
          <w:b/>
          <w:bCs/>
          <w:color w:val="333333"/>
          <w:sz w:val="17"/>
          <w:szCs w:val="17"/>
          <w:lang w:eastAsia="en-PH"/>
        </w:rPr>
        <w:t>91</w:t>
      </w:r>
      <w:r w:rsidRPr="00884687">
        <w:rPr>
          <w:rFonts w:ascii="Verdana" w:eastAsia="Times New Roman" w:hAnsi="Verdana" w:cs="Times New Roman"/>
          <w:color w:val="333333"/>
          <w:sz w:val="17"/>
          <w:szCs w:val="17"/>
          <w:lang w:eastAsia="en-PH"/>
        </w:rPr>
        <w:t>, Page 20, Book I, Series of 1989; and the latter, as Doc. No. </w:t>
      </w:r>
      <w:r w:rsidRPr="00884687">
        <w:rPr>
          <w:rFonts w:ascii="Verdana" w:eastAsia="Times New Roman" w:hAnsi="Verdana" w:cs="Times New Roman"/>
          <w:b/>
          <w:bCs/>
          <w:color w:val="333333"/>
          <w:sz w:val="17"/>
          <w:szCs w:val="17"/>
          <w:lang w:eastAsia="en-PH"/>
        </w:rPr>
        <w:t>92</w:t>
      </w:r>
      <w:r w:rsidRPr="00884687">
        <w:rPr>
          <w:rFonts w:ascii="Verdana" w:eastAsia="Times New Roman" w:hAnsi="Verdana" w:cs="Times New Roman"/>
          <w:color w:val="333333"/>
          <w:sz w:val="17"/>
          <w:szCs w:val="17"/>
          <w:lang w:eastAsia="en-PH"/>
        </w:rPr>
        <w:t>, Page 20, Book I, Series of 1989, of the same Notary Public; (3) as early as 4 May 1989, CIC received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 xml:space="preserve">40 million from RMI, and not from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The said amount was debited by RMI in its trial balance as of 30 June 1989 as investment in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Building. The substantial portion of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40 million was withdrawn by Toda through the declaration of cash dividends to all its stockholders.</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For its part, respondent Estate asserts that the Commissioner failed to present the income tax return of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to prove that the latter is financially incapable of purchasing the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property.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To resolve the grounds raised by the Commissioner, the following questions are pertinent:</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1. Is this a case of tax evasion or tax </w:t>
      </w:r>
      <w:proofErr w:type="spellStart"/>
      <w:r w:rsidRPr="00884687">
        <w:rPr>
          <w:rFonts w:ascii="Verdana" w:eastAsia="Times New Roman" w:hAnsi="Verdana" w:cs="Times New Roman"/>
          <w:color w:val="333333"/>
          <w:sz w:val="17"/>
          <w:szCs w:val="17"/>
          <w:lang w:eastAsia="en-PH"/>
        </w:rPr>
        <w:t>avoidance</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FFFFFF"/>
          <w:sz w:val="2"/>
          <w:szCs w:val="2"/>
          <w:lang w:eastAsia="en-PH"/>
        </w:rPr>
        <w:t>chanroblesvirtualawlibrary</w:t>
      </w:r>
      <w:proofErr w:type="spellEnd"/>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lastRenderedPageBreak/>
        <w:t xml:space="preserve">2. Has the period for assessment of deficiency income tax for the year 1989 prescribed? </w:t>
      </w:r>
      <w:proofErr w:type="gramStart"/>
      <w:r w:rsidRPr="00884687">
        <w:rPr>
          <w:rFonts w:ascii="Verdana" w:eastAsia="Times New Roman" w:hAnsi="Verdana" w:cs="Times New Roman"/>
          <w:color w:val="333333"/>
          <w:sz w:val="17"/>
          <w:szCs w:val="17"/>
          <w:lang w:eastAsia="en-PH"/>
        </w:rPr>
        <w:t>and</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3. Can respondent Estate be held liable for the deficiency income tax of CIC for the year 1989, if any?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We shall discuss these questions in seriatim.</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Is this a case of tax evasion or tax </w:t>
      </w:r>
      <w:proofErr w:type="spellStart"/>
      <w:r w:rsidRPr="00884687">
        <w:rPr>
          <w:rFonts w:ascii="Verdana" w:eastAsia="Times New Roman" w:hAnsi="Verdana" w:cs="Times New Roman"/>
          <w:color w:val="333333"/>
          <w:sz w:val="17"/>
          <w:szCs w:val="17"/>
          <w:lang w:eastAsia="en-PH"/>
        </w:rPr>
        <w:t>avoidance</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FFFFFF"/>
          <w:sz w:val="2"/>
          <w:szCs w:val="2"/>
          <w:lang w:eastAsia="en-PH"/>
        </w:rPr>
        <w:t>chanroblesvirtualawlibrary</w:t>
      </w:r>
      <w:proofErr w:type="spellEnd"/>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Tax avoidance and </w:t>
      </w:r>
      <w:r w:rsidRPr="00884687">
        <w:rPr>
          <w:rFonts w:ascii="Verdana" w:eastAsia="Times New Roman" w:hAnsi="Verdana" w:cs="Times New Roman"/>
          <w:i/>
          <w:iCs/>
          <w:color w:val="333333"/>
          <w:sz w:val="17"/>
          <w:szCs w:val="17"/>
          <w:lang w:eastAsia="en-PH"/>
        </w:rPr>
        <w:t>t</w:t>
      </w:r>
      <w:r w:rsidRPr="00884687">
        <w:rPr>
          <w:rFonts w:ascii="Verdana" w:eastAsia="Times New Roman" w:hAnsi="Verdana" w:cs="Times New Roman"/>
          <w:color w:val="333333"/>
          <w:sz w:val="17"/>
          <w:szCs w:val="17"/>
          <w:lang w:eastAsia="en-PH"/>
        </w:rPr>
        <w:t xml:space="preserve">ax evasion are the two most common ways used by taxpayers in escaping from taxation. Tax avoidance is the tax saving device within the means sanctioned by law. This method should be used by the taxpayer in good faith and at </w:t>
      </w:r>
      <w:proofErr w:type="spellStart"/>
      <w:r w:rsidRPr="00884687">
        <w:rPr>
          <w:rFonts w:ascii="Verdana" w:eastAsia="Times New Roman" w:hAnsi="Verdana" w:cs="Times New Roman"/>
          <w:color w:val="333333"/>
          <w:sz w:val="17"/>
          <w:szCs w:val="17"/>
          <w:lang w:eastAsia="en-PH"/>
        </w:rPr>
        <w:t>arms length</w:t>
      </w:r>
      <w:proofErr w:type="spellEnd"/>
      <w:r w:rsidRPr="00884687">
        <w:rPr>
          <w:rFonts w:ascii="Verdana" w:eastAsia="Times New Roman" w:hAnsi="Verdana" w:cs="Times New Roman"/>
          <w:color w:val="333333"/>
          <w:sz w:val="17"/>
          <w:szCs w:val="17"/>
          <w:lang w:eastAsia="en-PH"/>
        </w:rPr>
        <w:t>. Tax evasion, on the other hand, is a scheme used outside of those lawful means and when availed of, it usually subjects the taxpayer to further or additional civil or criminal liabilities.</w:t>
      </w:r>
      <w:r w:rsidRPr="00884687">
        <w:rPr>
          <w:rFonts w:ascii="Verdana" w:eastAsia="Times New Roman" w:hAnsi="Verdana" w:cs="Times New Roman"/>
          <w:color w:val="333333"/>
          <w:sz w:val="17"/>
          <w:szCs w:val="17"/>
          <w:vertAlign w:val="superscript"/>
          <w:lang w:eastAsia="en-PH"/>
        </w:rPr>
        <w:t>23</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Tax evasion connotes the integration of three factors: (1) the end to be achieved, i.e., the payment of less than that known by the taxpayer to be legally due, or the non-payment of tax when it is shown that a tax is due; (2) an accompanying state of mind which is described as being "evil," in "bad faith," "</w:t>
      </w:r>
      <w:proofErr w:type="spellStart"/>
      <w:r w:rsidRPr="00884687">
        <w:rPr>
          <w:rFonts w:ascii="Verdana" w:eastAsia="Times New Roman" w:hAnsi="Verdana" w:cs="Times New Roman"/>
          <w:color w:val="333333"/>
          <w:sz w:val="17"/>
          <w:szCs w:val="17"/>
          <w:lang w:eastAsia="en-PH"/>
        </w:rPr>
        <w:t>willfull</w:t>
      </w:r>
      <w:proofErr w:type="spellEnd"/>
      <w:r w:rsidRPr="00884687">
        <w:rPr>
          <w:rFonts w:ascii="Verdana" w:eastAsia="Times New Roman" w:hAnsi="Verdana" w:cs="Times New Roman"/>
          <w:color w:val="333333"/>
          <w:sz w:val="17"/>
          <w:szCs w:val="17"/>
          <w:lang w:eastAsia="en-PH"/>
        </w:rPr>
        <w:t>," or "deliberate and not accidental"; and (3) a course of action or failure of action which is unlawful.</w:t>
      </w:r>
      <w:r w:rsidRPr="00884687">
        <w:rPr>
          <w:rFonts w:ascii="Verdana" w:eastAsia="Times New Roman" w:hAnsi="Verdana" w:cs="Times New Roman"/>
          <w:color w:val="333333"/>
          <w:sz w:val="17"/>
          <w:szCs w:val="17"/>
          <w:vertAlign w:val="superscript"/>
          <w:lang w:eastAsia="en-PH"/>
        </w:rPr>
        <w:t>24</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All these factors are present in the instant case. It is significant to note that as early as 4 May 1989, prior to the purported sale of the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property by CIC to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on 30 August 1989, CIC received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40 million from RMI,</w:t>
      </w:r>
      <w:r w:rsidRPr="00884687">
        <w:rPr>
          <w:rFonts w:ascii="Verdana" w:eastAsia="Times New Roman" w:hAnsi="Verdana" w:cs="Times New Roman"/>
          <w:color w:val="333333"/>
          <w:sz w:val="17"/>
          <w:szCs w:val="17"/>
          <w:vertAlign w:val="superscript"/>
          <w:lang w:eastAsia="en-PH"/>
        </w:rPr>
        <w:t>25</w:t>
      </w:r>
      <w:r w:rsidRPr="00884687">
        <w:rPr>
          <w:rFonts w:ascii="Verdana" w:eastAsia="Times New Roman" w:hAnsi="Verdana" w:cs="Times New Roman"/>
          <w:color w:val="333333"/>
          <w:sz w:val="17"/>
          <w:szCs w:val="17"/>
          <w:lang w:eastAsia="en-PH"/>
        </w:rPr>
        <w:t xml:space="preserve"> and not from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That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40 million was debited by RMI and reflected in its trial balance</w:t>
      </w:r>
      <w:r w:rsidRPr="00884687">
        <w:rPr>
          <w:rFonts w:ascii="Verdana" w:eastAsia="Times New Roman" w:hAnsi="Verdana" w:cs="Times New Roman"/>
          <w:color w:val="333333"/>
          <w:sz w:val="17"/>
          <w:szCs w:val="17"/>
          <w:vertAlign w:val="superscript"/>
          <w:lang w:eastAsia="en-PH"/>
        </w:rPr>
        <w:t>26</w:t>
      </w:r>
      <w:r w:rsidRPr="00884687">
        <w:rPr>
          <w:rFonts w:ascii="Verdana" w:eastAsia="Times New Roman" w:hAnsi="Verdana" w:cs="Times New Roman"/>
          <w:color w:val="333333"/>
          <w:sz w:val="17"/>
          <w:szCs w:val="17"/>
          <w:lang w:eastAsia="en-PH"/>
        </w:rPr>
        <w:t xml:space="preserve"> as "other inv. -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Bldg." Also, as of 31 July 1989, another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 xml:space="preserve">40 million was debited and reflected in RMI's trial balance as "other inv. -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Bldg." This would show that the real buyer of the properties was RMI, and not the intermediary Altonaga.</w:t>
      </w:r>
      <w:r w:rsidRPr="00884687">
        <w:rPr>
          <w:rFonts w:ascii="Verdana" w:eastAsia="Times New Roman" w:hAnsi="Verdana" w:cs="Times New Roman"/>
          <w:color w:val="FFFFFF"/>
          <w:sz w:val="2"/>
          <w:szCs w:val="2"/>
          <w:lang w:eastAsia="en-PH"/>
        </w:rPr>
        <w:t>chanroblesvirtua1awlibrary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The investigation conducted by the BIR disclosed that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was a close business associate and one of the many trusted corporate executives of Toda. This information was revealed by </w:t>
      </w:r>
      <w:proofErr w:type="spellStart"/>
      <w:r w:rsidRPr="00884687">
        <w:rPr>
          <w:rFonts w:ascii="Verdana" w:eastAsia="Times New Roman" w:hAnsi="Verdana" w:cs="Times New Roman"/>
          <w:color w:val="333333"/>
          <w:sz w:val="17"/>
          <w:szCs w:val="17"/>
          <w:lang w:eastAsia="en-PH"/>
        </w:rPr>
        <w:t>Mr.</w:t>
      </w:r>
      <w:proofErr w:type="spellEnd"/>
      <w:r w:rsidRPr="00884687">
        <w:rPr>
          <w:rFonts w:ascii="Verdana" w:eastAsia="Times New Roman" w:hAnsi="Verdana" w:cs="Times New Roman"/>
          <w:color w:val="333333"/>
          <w:sz w:val="17"/>
          <w:szCs w:val="17"/>
          <w:lang w:eastAsia="en-PH"/>
        </w:rPr>
        <w:t xml:space="preserve"> Boy </w:t>
      </w:r>
      <w:proofErr w:type="spellStart"/>
      <w:r w:rsidRPr="00884687">
        <w:rPr>
          <w:rFonts w:ascii="Verdana" w:eastAsia="Times New Roman" w:hAnsi="Verdana" w:cs="Times New Roman"/>
          <w:color w:val="333333"/>
          <w:sz w:val="17"/>
          <w:szCs w:val="17"/>
          <w:lang w:eastAsia="en-PH"/>
        </w:rPr>
        <w:t>Prieto</w:t>
      </w:r>
      <w:proofErr w:type="spellEnd"/>
      <w:r w:rsidRPr="00884687">
        <w:rPr>
          <w:rFonts w:ascii="Verdana" w:eastAsia="Times New Roman" w:hAnsi="Verdana" w:cs="Times New Roman"/>
          <w:color w:val="333333"/>
          <w:sz w:val="17"/>
          <w:szCs w:val="17"/>
          <w:lang w:eastAsia="en-PH"/>
        </w:rPr>
        <w:t>, the assistant accountant of CIC and an old timer in the company.</w:t>
      </w:r>
      <w:r w:rsidRPr="00884687">
        <w:rPr>
          <w:rFonts w:ascii="Verdana" w:eastAsia="Times New Roman" w:hAnsi="Verdana" w:cs="Times New Roman"/>
          <w:color w:val="333333"/>
          <w:sz w:val="17"/>
          <w:szCs w:val="17"/>
          <w:vertAlign w:val="superscript"/>
          <w:lang w:eastAsia="en-PH"/>
        </w:rPr>
        <w:t>27</w:t>
      </w:r>
      <w:r w:rsidRPr="00884687">
        <w:rPr>
          <w:rFonts w:ascii="Verdana" w:eastAsia="Times New Roman" w:hAnsi="Verdana" w:cs="Times New Roman"/>
          <w:color w:val="333333"/>
          <w:sz w:val="17"/>
          <w:szCs w:val="17"/>
          <w:lang w:eastAsia="en-PH"/>
        </w:rPr>
        <w:t xml:space="preserve"> But </w:t>
      </w:r>
      <w:proofErr w:type="spellStart"/>
      <w:r w:rsidRPr="00884687">
        <w:rPr>
          <w:rFonts w:ascii="Verdana" w:eastAsia="Times New Roman" w:hAnsi="Verdana" w:cs="Times New Roman"/>
          <w:color w:val="333333"/>
          <w:sz w:val="17"/>
          <w:szCs w:val="17"/>
          <w:lang w:eastAsia="en-PH"/>
        </w:rPr>
        <w:t>Mr.</w:t>
      </w:r>
      <w:proofErr w:type="spellEnd"/>
      <w:r w:rsidRPr="00884687">
        <w:rPr>
          <w:rFonts w:ascii="Verdana" w:eastAsia="Times New Roman" w:hAnsi="Verdana" w:cs="Times New Roman"/>
          <w:color w:val="333333"/>
          <w:sz w:val="17"/>
          <w:szCs w:val="17"/>
          <w:lang w:eastAsia="en-PH"/>
        </w:rPr>
        <w:t xml:space="preserve"> </w:t>
      </w:r>
      <w:proofErr w:type="spellStart"/>
      <w:r w:rsidRPr="00884687">
        <w:rPr>
          <w:rFonts w:ascii="Verdana" w:eastAsia="Times New Roman" w:hAnsi="Verdana" w:cs="Times New Roman"/>
          <w:color w:val="333333"/>
          <w:sz w:val="17"/>
          <w:szCs w:val="17"/>
          <w:lang w:eastAsia="en-PH"/>
        </w:rPr>
        <w:t>Prieto</w:t>
      </w:r>
      <w:proofErr w:type="spellEnd"/>
      <w:r w:rsidRPr="00884687">
        <w:rPr>
          <w:rFonts w:ascii="Verdana" w:eastAsia="Times New Roman" w:hAnsi="Verdana" w:cs="Times New Roman"/>
          <w:color w:val="333333"/>
          <w:sz w:val="17"/>
          <w:szCs w:val="17"/>
          <w:lang w:eastAsia="en-PH"/>
        </w:rPr>
        <w:t xml:space="preserve"> did not testify on this matter, hence, that information remains to be hearsay and is thus inadmissible in evidence. It was not verified either, since the letter-request for investigation of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was unserved,</w:t>
      </w:r>
      <w:r w:rsidRPr="00884687">
        <w:rPr>
          <w:rFonts w:ascii="Verdana" w:eastAsia="Times New Roman" w:hAnsi="Verdana" w:cs="Times New Roman"/>
          <w:color w:val="333333"/>
          <w:sz w:val="17"/>
          <w:szCs w:val="17"/>
          <w:vertAlign w:val="superscript"/>
          <w:lang w:eastAsia="en-PH"/>
        </w:rPr>
        <w:t>28</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having left for the United States of America in January 1990. Nevertheless, that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was a mere conduit finds support in the admission of respondent Estate that the sale to him was part of the tax planning scheme of CIC. That admission is borne by the records. In its Memorandum, respondent Estate declared:</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Petitioner, however, claims there was a "change of structure" of the proceeds of sale. </w:t>
      </w:r>
      <w:proofErr w:type="gramStart"/>
      <w:r w:rsidRPr="00884687">
        <w:rPr>
          <w:rFonts w:ascii="Verdana" w:eastAsia="Times New Roman" w:hAnsi="Verdana" w:cs="Times New Roman"/>
          <w:color w:val="333333"/>
          <w:sz w:val="17"/>
          <w:szCs w:val="17"/>
          <w:lang w:eastAsia="en-PH"/>
        </w:rPr>
        <w:t xml:space="preserve">Admitted one hundred </w:t>
      </w:r>
      <w:proofErr w:type="spellStart"/>
      <w:r w:rsidRPr="00884687">
        <w:rPr>
          <w:rFonts w:ascii="Verdana" w:eastAsia="Times New Roman" w:hAnsi="Verdana" w:cs="Times New Roman"/>
          <w:color w:val="333333"/>
          <w:sz w:val="17"/>
          <w:szCs w:val="17"/>
          <w:lang w:eastAsia="en-PH"/>
        </w:rPr>
        <w:t>percent</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But isn't this precisely the definition of tax planning? Change the structure of the funds and pay a lower tax. Precisely, Sec. 40 (2) of the Tax Code exists, allowing tax free transfers of property for stock, changing the structure of the property and the tax to be paid. As long as it is done legally, changing the structure of a transaction to achieve a lower tax is not against the law. It is absolutely allowed.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Tax planning is by definition to reduce, if not eliminate altogether, a tax. Surely petitioner [</w:t>
      </w:r>
      <w:r w:rsidRPr="00884687">
        <w:rPr>
          <w:rFonts w:ascii="Verdana" w:eastAsia="Times New Roman" w:hAnsi="Verdana" w:cs="Times New Roman"/>
          <w:i/>
          <w:iCs/>
          <w:color w:val="333333"/>
          <w:sz w:val="17"/>
          <w:szCs w:val="17"/>
          <w:lang w:eastAsia="en-PH"/>
        </w:rPr>
        <w:t>sic</w:t>
      </w:r>
      <w:r w:rsidRPr="00884687">
        <w:rPr>
          <w:rFonts w:ascii="Verdana" w:eastAsia="Times New Roman" w:hAnsi="Verdana" w:cs="Times New Roman"/>
          <w:color w:val="333333"/>
          <w:sz w:val="17"/>
          <w:szCs w:val="17"/>
          <w:lang w:eastAsia="en-PH"/>
        </w:rPr>
        <w:t>] cannot be faulted for </w:t>
      </w:r>
      <w:r w:rsidRPr="00884687">
        <w:rPr>
          <w:rFonts w:ascii="Verdana" w:eastAsia="Times New Roman" w:hAnsi="Verdana" w:cs="Times New Roman"/>
          <w:b/>
          <w:bCs/>
          <w:color w:val="333333"/>
          <w:sz w:val="17"/>
          <w:szCs w:val="17"/>
          <w:lang w:eastAsia="en-PH"/>
        </w:rPr>
        <w:t>wanting to reduce the tax from 35% to 5%</w:t>
      </w:r>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333333"/>
          <w:sz w:val="17"/>
          <w:szCs w:val="17"/>
          <w:vertAlign w:val="superscript"/>
          <w:lang w:eastAsia="en-PH"/>
        </w:rPr>
        <w:t>29</w:t>
      </w:r>
      <w:r w:rsidRPr="00884687">
        <w:rPr>
          <w:rFonts w:ascii="Verdana" w:eastAsia="Times New Roman" w:hAnsi="Verdana" w:cs="Times New Roman"/>
          <w:color w:val="333333"/>
          <w:sz w:val="17"/>
          <w:szCs w:val="17"/>
          <w:lang w:eastAsia="en-PH"/>
        </w:rPr>
        <w:t> [Underscoring supplied].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The scheme resorted to by CIC in making it appear that there were two sales of the subject properties, </w:t>
      </w:r>
      <w:r w:rsidRPr="00884687">
        <w:rPr>
          <w:rFonts w:ascii="Verdana" w:eastAsia="Times New Roman" w:hAnsi="Verdana" w:cs="Times New Roman"/>
          <w:i/>
          <w:iCs/>
          <w:color w:val="333333"/>
          <w:sz w:val="17"/>
          <w:szCs w:val="17"/>
          <w:lang w:eastAsia="en-PH"/>
        </w:rPr>
        <w:t>i.e</w:t>
      </w:r>
      <w:r w:rsidRPr="00884687">
        <w:rPr>
          <w:rFonts w:ascii="Verdana" w:eastAsia="Times New Roman" w:hAnsi="Verdana" w:cs="Times New Roman"/>
          <w:color w:val="333333"/>
          <w:sz w:val="17"/>
          <w:szCs w:val="17"/>
          <w:lang w:eastAsia="en-PH"/>
        </w:rPr>
        <w:t xml:space="preserve">., from CIC to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and then from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to RMI cannot be considered a legitimate tax planning. Such scheme is tainted with fraud.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i/>
          <w:iCs/>
          <w:color w:val="333333"/>
          <w:sz w:val="17"/>
          <w:szCs w:val="17"/>
          <w:lang w:eastAsia="en-PH"/>
        </w:rPr>
        <w:t>Fraud</w:t>
      </w:r>
      <w:r w:rsidRPr="00884687">
        <w:rPr>
          <w:rFonts w:ascii="Verdana" w:eastAsia="Times New Roman" w:hAnsi="Verdana" w:cs="Times New Roman"/>
          <w:color w:val="333333"/>
          <w:sz w:val="17"/>
          <w:szCs w:val="17"/>
          <w:lang w:eastAsia="en-PH"/>
        </w:rPr>
        <w:t xml:space="preserve"> in its general </w:t>
      </w:r>
      <w:proofErr w:type="gramStart"/>
      <w:r w:rsidRPr="00884687">
        <w:rPr>
          <w:rFonts w:ascii="Verdana" w:eastAsia="Times New Roman" w:hAnsi="Verdana" w:cs="Times New Roman"/>
          <w:color w:val="333333"/>
          <w:sz w:val="17"/>
          <w:szCs w:val="17"/>
          <w:lang w:eastAsia="en-PH"/>
        </w:rPr>
        <w:t>sense,</w:t>
      </w:r>
      <w:proofErr w:type="gramEnd"/>
      <w:r w:rsidRPr="00884687">
        <w:rPr>
          <w:rFonts w:ascii="Verdana" w:eastAsia="Times New Roman" w:hAnsi="Verdana" w:cs="Times New Roman"/>
          <w:color w:val="333333"/>
          <w:sz w:val="17"/>
          <w:szCs w:val="17"/>
          <w:lang w:eastAsia="en-PH"/>
        </w:rPr>
        <w:t xml:space="preserve"> "is deemed to comprise anything calculated to deceive, including all acts, omissions, and concealment involving a breach of legal or equitable duty, trust or confidence justly reposed, resulting in the damage to another, or by which an undue and unconscionable advantage is taken of another."</w:t>
      </w:r>
      <w:r w:rsidRPr="00884687">
        <w:rPr>
          <w:rFonts w:ascii="Verdana" w:eastAsia="Times New Roman" w:hAnsi="Verdana" w:cs="Times New Roman"/>
          <w:color w:val="333333"/>
          <w:sz w:val="17"/>
          <w:szCs w:val="17"/>
          <w:vertAlign w:val="superscript"/>
          <w:lang w:eastAsia="en-PH"/>
        </w:rPr>
        <w:t>30</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Here, it is obvious that the objective of the sale to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was to reduce the amount of tax to be paid especially that the transfer from him to RMI would then subject the income to only 5% individual capital gains tax, and not the 35% corporate income tax. </w:t>
      </w:r>
      <w:proofErr w:type="spellStart"/>
      <w:r w:rsidRPr="00884687">
        <w:rPr>
          <w:rFonts w:ascii="Verdana" w:eastAsia="Times New Roman" w:hAnsi="Verdana" w:cs="Times New Roman"/>
          <w:color w:val="333333"/>
          <w:sz w:val="17"/>
          <w:szCs w:val="17"/>
          <w:lang w:eastAsia="en-PH"/>
        </w:rPr>
        <w:t>Altonaga's</w:t>
      </w:r>
      <w:proofErr w:type="spellEnd"/>
      <w:r w:rsidRPr="00884687">
        <w:rPr>
          <w:rFonts w:ascii="Verdana" w:eastAsia="Times New Roman" w:hAnsi="Verdana" w:cs="Times New Roman"/>
          <w:color w:val="333333"/>
          <w:sz w:val="17"/>
          <w:szCs w:val="17"/>
          <w:lang w:eastAsia="en-PH"/>
        </w:rPr>
        <w:t xml:space="preserve"> sole purpose of acquiring and transferring title of the subject properties on the same day was to create a tax shelter.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never controlled the property and did not enjoy the normal benefits and burdens of ownership. The sale to him was merely a tax </w:t>
      </w:r>
      <w:r w:rsidRPr="00884687">
        <w:rPr>
          <w:rFonts w:ascii="Verdana" w:eastAsia="Times New Roman" w:hAnsi="Verdana" w:cs="Times New Roman"/>
          <w:color w:val="333333"/>
          <w:sz w:val="17"/>
          <w:szCs w:val="17"/>
          <w:lang w:eastAsia="en-PH"/>
        </w:rPr>
        <w:lastRenderedPageBreak/>
        <w:t>ploy, a sham, and without business purpose and economic substance. Doubtless, the execution of the two sales was calculated to mislead the BIR with the end in view of reducing the consequent income tax liability.</w:t>
      </w:r>
      <w:r w:rsidRPr="00884687">
        <w:rPr>
          <w:rFonts w:ascii="Verdana" w:eastAsia="Times New Roman" w:hAnsi="Verdana" w:cs="Times New Roman"/>
          <w:color w:val="FFFFFF"/>
          <w:sz w:val="2"/>
          <w:szCs w:val="2"/>
          <w:lang w:eastAsia="en-PH"/>
        </w:rPr>
        <w:t>chanroblesvirtua1awlibrary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In a nutshell, the intermediary transaction, </w:t>
      </w:r>
      <w:r w:rsidRPr="00884687">
        <w:rPr>
          <w:rFonts w:ascii="Verdana" w:eastAsia="Times New Roman" w:hAnsi="Verdana" w:cs="Times New Roman"/>
          <w:i/>
          <w:iCs/>
          <w:color w:val="333333"/>
          <w:sz w:val="17"/>
          <w:szCs w:val="17"/>
          <w:lang w:eastAsia="en-PH"/>
        </w:rPr>
        <w:t>i.e</w:t>
      </w:r>
      <w:r w:rsidRPr="00884687">
        <w:rPr>
          <w:rFonts w:ascii="Verdana" w:eastAsia="Times New Roman" w:hAnsi="Verdana" w:cs="Times New Roman"/>
          <w:color w:val="333333"/>
          <w:sz w:val="17"/>
          <w:szCs w:val="17"/>
          <w:lang w:eastAsia="en-PH"/>
        </w:rPr>
        <w:t xml:space="preserve">., the sale of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which was prompted more on the mitigation of tax liabilities than for legitimate business </w:t>
      </w:r>
      <w:proofErr w:type="gramStart"/>
      <w:r w:rsidRPr="00884687">
        <w:rPr>
          <w:rFonts w:ascii="Verdana" w:eastAsia="Times New Roman" w:hAnsi="Verdana" w:cs="Times New Roman"/>
          <w:color w:val="333333"/>
          <w:sz w:val="17"/>
          <w:szCs w:val="17"/>
          <w:lang w:eastAsia="en-PH"/>
        </w:rPr>
        <w:t>purposes</w:t>
      </w:r>
      <w:proofErr w:type="gramEnd"/>
      <w:r w:rsidRPr="00884687">
        <w:rPr>
          <w:rFonts w:ascii="Verdana" w:eastAsia="Times New Roman" w:hAnsi="Verdana" w:cs="Times New Roman"/>
          <w:color w:val="333333"/>
          <w:sz w:val="17"/>
          <w:szCs w:val="17"/>
          <w:lang w:eastAsia="en-PH"/>
        </w:rPr>
        <w:t xml:space="preserve"> constitutes one of tax evasion.</w:t>
      </w:r>
      <w:r w:rsidRPr="00884687">
        <w:rPr>
          <w:rFonts w:ascii="Verdana" w:eastAsia="Times New Roman" w:hAnsi="Verdana" w:cs="Times New Roman"/>
          <w:color w:val="333333"/>
          <w:sz w:val="17"/>
          <w:szCs w:val="17"/>
          <w:vertAlign w:val="superscript"/>
          <w:lang w:eastAsia="en-PH"/>
        </w:rPr>
        <w:t>31</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Generally, a sale or exchange of assets will have an income tax incidence only when it is consummated.</w:t>
      </w:r>
      <w:r w:rsidRPr="00884687">
        <w:rPr>
          <w:rFonts w:ascii="Verdana" w:eastAsia="Times New Roman" w:hAnsi="Verdana" w:cs="Times New Roman"/>
          <w:color w:val="333333"/>
          <w:sz w:val="17"/>
          <w:szCs w:val="17"/>
          <w:vertAlign w:val="superscript"/>
          <w:lang w:eastAsia="en-PH"/>
        </w:rPr>
        <w:t>32</w:t>
      </w:r>
      <w:r w:rsidRPr="00884687">
        <w:rPr>
          <w:rFonts w:ascii="Verdana" w:eastAsia="Times New Roman" w:hAnsi="Verdana" w:cs="Times New Roman"/>
          <w:color w:val="333333"/>
          <w:sz w:val="17"/>
          <w:szCs w:val="17"/>
          <w:lang w:eastAsia="en-PH"/>
        </w:rPr>
        <w:t> </w:t>
      </w:r>
      <w:proofErr w:type="gramStart"/>
      <w:r w:rsidRPr="00884687">
        <w:rPr>
          <w:rFonts w:ascii="Verdana" w:eastAsia="Times New Roman" w:hAnsi="Verdana" w:cs="Times New Roman"/>
          <w:color w:val="333333"/>
          <w:sz w:val="17"/>
          <w:szCs w:val="17"/>
          <w:lang w:eastAsia="en-PH"/>
        </w:rPr>
        <w:t>The</w:t>
      </w:r>
      <w:proofErr w:type="gramEnd"/>
      <w:r w:rsidRPr="00884687">
        <w:rPr>
          <w:rFonts w:ascii="Verdana" w:eastAsia="Times New Roman" w:hAnsi="Verdana" w:cs="Times New Roman"/>
          <w:color w:val="333333"/>
          <w:sz w:val="17"/>
          <w:szCs w:val="17"/>
          <w:lang w:eastAsia="en-PH"/>
        </w:rPr>
        <w:t xml:space="preserve"> incidence of taxation depends upon the substance of a transaction. The tax consequences arising from gains from a sale of property are not finally to be determined solely by the means employed to transfer legal title. Rather, the transaction must be viewed as a whole, and each step from the commencement of negotiations to the consummation of the sale is relevant. A sale by one person cannot be transformed for tax purposes into a sale by another by using the latter as a conduit through which to pass title. To permit the true nature of the transaction to be disguised by mere formalisms, which exist solely to alter tax liabilities, would seriously impair the effective administration of the tax policies of Congress.</w:t>
      </w:r>
      <w:r w:rsidRPr="00884687">
        <w:rPr>
          <w:rFonts w:ascii="Verdana" w:eastAsia="Times New Roman" w:hAnsi="Verdana" w:cs="Times New Roman"/>
          <w:color w:val="333333"/>
          <w:sz w:val="17"/>
          <w:szCs w:val="17"/>
          <w:vertAlign w:val="superscript"/>
          <w:lang w:eastAsia="en-PH"/>
        </w:rPr>
        <w:t>33</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To allow a taxpayer to deny tax liability on the ground that the sale was made through another and distinct entity when it is proved that the latter was merely a conduit is to sanction a circumvention of our tax laws. Hence, the sale to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xml:space="preserve"> should be disregarded for income tax purposes.</w:t>
      </w:r>
      <w:r w:rsidRPr="00884687">
        <w:rPr>
          <w:rFonts w:ascii="Verdana" w:eastAsia="Times New Roman" w:hAnsi="Verdana" w:cs="Times New Roman"/>
          <w:color w:val="333333"/>
          <w:sz w:val="17"/>
          <w:szCs w:val="17"/>
          <w:vertAlign w:val="superscript"/>
          <w:lang w:eastAsia="en-PH"/>
        </w:rPr>
        <w:t>34</w:t>
      </w:r>
      <w:r w:rsidRPr="00884687">
        <w:rPr>
          <w:rFonts w:ascii="Verdana" w:eastAsia="Times New Roman" w:hAnsi="Verdana" w:cs="Times New Roman"/>
          <w:color w:val="333333"/>
          <w:sz w:val="17"/>
          <w:szCs w:val="17"/>
          <w:lang w:eastAsia="en-PH"/>
        </w:rPr>
        <w:t> </w:t>
      </w:r>
      <w:proofErr w:type="gramStart"/>
      <w:r w:rsidRPr="00884687">
        <w:rPr>
          <w:rFonts w:ascii="Verdana" w:eastAsia="Times New Roman" w:hAnsi="Verdana" w:cs="Times New Roman"/>
          <w:color w:val="333333"/>
          <w:sz w:val="17"/>
          <w:szCs w:val="17"/>
          <w:lang w:eastAsia="en-PH"/>
        </w:rPr>
        <w:t>The</w:t>
      </w:r>
      <w:proofErr w:type="gramEnd"/>
      <w:r w:rsidRPr="00884687">
        <w:rPr>
          <w:rFonts w:ascii="Verdana" w:eastAsia="Times New Roman" w:hAnsi="Verdana" w:cs="Times New Roman"/>
          <w:color w:val="333333"/>
          <w:sz w:val="17"/>
          <w:szCs w:val="17"/>
          <w:lang w:eastAsia="en-PH"/>
        </w:rPr>
        <w:t xml:space="preserve"> two sale transactions should be treated as a single direct sale by CIC to RMI.</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Accordingly, the tax liability of CIC is governed by then Section 24 of the NIRC of 1986, as amended (now 27 (A) of the Tax Reform Act of 1997), which stated as follows:</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lang w:eastAsia="en-PH"/>
        </w:rPr>
        <w:t>Sec. 24.</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Rates of tax on corporations.</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 (a) Tax on domestic corporations.</w:t>
      </w:r>
      <w:proofErr w:type="gramEnd"/>
      <w:r w:rsidRPr="00884687">
        <w:rPr>
          <w:rFonts w:ascii="Verdana" w:eastAsia="Times New Roman" w:hAnsi="Verdana" w:cs="Times New Roman"/>
          <w:color w:val="333333"/>
          <w:sz w:val="17"/>
          <w:szCs w:val="17"/>
          <w:lang w:eastAsia="en-PH"/>
        </w:rPr>
        <w:t xml:space="preserve"> - A tax is hereby imposed upon the taxable net income received during each taxable year from all sources by every corporation organized in, or existing under the laws of the Philippines, and partnerships, no matter how created or organized but not including general professional partnerships, in accordance with the following:</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Twenty-five </w:t>
      </w:r>
      <w:proofErr w:type="spellStart"/>
      <w:r w:rsidRPr="00884687">
        <w:rPr>
          <w:rFonts w:ascii="Verdana" w:eastAsia="Times New Roman" w:hAnsi="Verdana" w:cs="Times New Roman"/>
          <w:color w:val="333333"/>
          <w:sz w:val="17"/>
          <w:szCs w:val="17"/>
          <w:lang w:eastAsia="en-PH"/>
        </w:rPr>
        <w:t>percent</w:t>
      </w:r>
      <w:proofErr w:type="spellEnd"/>
      <w:r w:rsidRPr="00884687">
        <w:rPr>
          <w:rFonts w:ascii="Verdana" w:eastAsia="Times New Roman" w:hAnsi="Verdana" w:cs="Times New Roman"/>
          <w:color w:val="333333"/>
          <w:sz w:val="17"/>
          <w:szCs w:val="17"/>
          <w:lang w:eastAsia="en-PH"/>
        </w:rPr>
        <w:t xml:space="preserve"> upon the amount by which the taxable net income does not exceed one hundred thousand pesos; </w:t>
      </w:r>
      <w:proofErr w:type="spellStart"/>
      <w:r w:rsidRPr="00884687">
        <w:rPr>
          <w:rFonts w:ascii="Verdana" w:eastAsia="Times New Roman" w:hAnsi="Verdana" w:cs="Times New Roman"/>
          <w:color w:val="333333"/>
          <w:sz w:val="17"/>
          <w:szCs w:val="17"/>
          <w:lang w:eastAsia="en-PH"/>
        </w:rPr>
        <w:t>and</w:t>
      </w:r>
      <w:r w:rsidRPr="00884687">
        <w:rPr>
          <w:rFonts w:ascii="Verdana" w:eastAsia="Times New Roman" w:hAnsi="Verdana" w:cs="Times New Roman"/>
          <w:color w:val="FFFFFF"/>
          <w:sz w:val="2"/>
          <w:szCs w:val="2"/>
          <w:lang w:eastAsia="en-PH"/>
        </w:rPr>
        <w:t>cralawlibrary</w:t>
      </w:r>
      <w:proofErr w:type="spell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lang w:eastAsia="en-PH"/>
        </w:rPr>
        <w:t xml:space="preserve">Thirty-five </w:t>
      </w:r>
      <w:proofErr w:type="spellStart"/>
      <w:r w:rsidRPr="00884687">
        <w:rPr>
          <w:rFonts w:ascii="Verdana" w:eastAsia="Times New Roman" w:hAnsi="Verdana" w:cs="Times New Roman"/>
          <w:color w:val="333333"/>
          <w:sz w:val="17"/>
          <w:szCs w:val="17"/>
          <w:lang w:eastAsia="en-PH"/>
        </w:rPr>
        <w:t>percent</w:t>
      </w:r>
      <w:proofErr w:type="spellEnd"/>
      <w:r w:rsidRPr="00884687">
        <w:rPr>
          <w:rFonts w:ascii="Verdana" w:eastAsia="Times New Roman" w:hAnsi="Verdana" w:cs="Times New Roman"/>
          <w:color w:val="333333"/>
          <w:sz w:val="17"/>
          <w:szCs w:val="17"/>
          <w:lang w:eastAsia="en-PH"/>
        </w:rPr>
        <w:t xml:space="preserve"> upon the amount by which the taxable net income exceeds one hundred thousand pesos.</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CIC is therefore liable to pay a 35% corporate tax for its taxable net income in 1989. The 5% individual capital gains tax provided for in Section 34 (h) of the NIRC of 1986</w:t>
      </w:r>
      <w:r w:rsidRPr="00884687">
        <w:rPr>
          <w:rFonts w:ascii="Verdana" w:eastAsia="Times New Roman" w:hAnsi="Verdana" w:cs="Times New Roman"/>
          <w:color w:val="333333"/>
          <w:sz w:val="17"/>
          <w:szCs w:val="17"/>
          <w:vertAlign w:val="superscript"/>
          <w:lang w:eastAsia="en-PH"/>
        </w:rPr>
        <w:t>35</w:t>
      </w:r>
      <w:r w:rsidRPr="00884687">
        <w:rPr>
          <w:rFonts w:ascii="Verdana" w:eastAsia="Times New Roman" w:hAnsi="Verdana" w:cs="Times New Roman"/>
          <w:color w:val="333333"/>
          <w:sz w:val="17"/>
          <w:szCs w:val="17"/>
          <w:lang w:eastAsia="en-PH"/>
        </w:rPr>
        <w:t> (now 6% under Section 24 (D) (1) of the Tax Reform Act of 1997) is inapplicable. Hence, the assessment for the deficiency income tax issued by the BIR must be upheld.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Has the period of assessment </w:t>
      </w:r>
      <w:proofErr w:type="spellStart"/>
      <w:r w:rsidRPr="00884687">
        <w:rPr>
          <w:rFonts w:ascii="Verdana" w:eastAsia="Times New Roman" w:hAnsi="Verdana" w:cs="Times New Roman"/>
          <w:color w:val="333333"/>
          <w:sz w:val="17"/>
          <w:szCs w:val="17"/>
          <w:lang w:eastAsia="en-PH"/>
        </w:rPr>
        <w:t>prescribed</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FFFFFF"/>
          <w:sz w:val="2"/>
          <w:szCs w:val="2"/>
          <w:lang w:eastAsia="en-PH"/>
        </w:rPr>
        <w:t>chanroblesvirtualawlibrary</w:t>
      </w:r>
      <w:proofErr w:type="spellEnd"/>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No. Section 269 of the NIRC of 1986 (now Section 222 of the Tax Reform Act of 1997) read:</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lang w:eastAsia="en-PH"/>
        </w:rPr>
        <w:t>Sec. 269.</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Exceptions as to period of limitation of assessment and collection of taxes.</w:t>
      </w:r>
      <w:proofErr w:type="gramEnd"/>
      <w:r w:rsidRPr="00884687">
        <w:rPr>
          <w:rFonts w:ascii="Verdana" w:eastAsia="Times New Roman" w:hAnsi="Verdana" w:cs="Times New Roman"/>
          <w:color w:val="333333"/>
          <w:sz w:val="17"/>
          <w:szCs w:val="17"/>
          <w:lang w:eastAsia="en-PH"/>
        </w:rPr>
        <w:t xml:space="preserve"> - (a) In the case of a false or fraudulent return with intent to evade tax or of failure to file a return, the tax may be assessed, or a proceeding in court after the collection of such tax may be begun without assessment, at any time within ten years after the discovery of the falsity, fraud or omission: Provided, That in a fraud assessment which has become final and </w:t>
      </w:r>
      <w:proofErr w:type="spellStart"/>
      <w:r w:rsidRPr="00884687">
        <w:rPr>
          <w:rFonts w:ascii="Verdana" w:eastAsia="Times New Roman" w:hAnsi="Verdana" w:cs="Times New Roman"/>
          <w:color w:val="333333"/>
          <w:sz w:val="17"/>
          <w:szCs w:val="17"/>
          <w:lang w:eastAsia="en-PH"/>
        </w:rPr>
        <w:t>executory</w:t>
      </w:r>
      <w:proofErr w:type="spellEnd"/>
      <w:r w:rsidRPr="00884687">
        <w:rPr>
          <w:rFonts w:ascii="Verdana" w:eastAsia="Times New Roman" w:hAnsi="Verdana" w:cs="Times New Roman"/>
          <w:color w:val="333333"/>
          <w:sz w:val="17"/>
          <w:szCs w:val="17"/>
          <w:lang w:eastAsia="en-PH"/>
        </w:rPr>
        <w:t>, the fact of fraud shall be judicially taken cognizance of in the civil or criminal action for collection thereof'.</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Put differently, in cases of (1) fraudulent returns; (2) false returns with intent to evade tax; and (3) failure to file a return, the period within which to assess tax is ten years from discovery of the fraud, falsification or omission, as the case may be.</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It is true that in a query dated 24 August 1989, </w:t>
      </w:r>
      <w:proofErr w:type="spellStart"/>
      <w:r w:rsidRPr="00884687">
        <w:rPr>
          <w:rFonts w:ascii="Verdana" w:eastAsia="Times New Roman" w:hAnsi="Verdana" w:cs="Times New Roman"/>
          <w:color w:val="333333"/>
          <w:sz w:val="17"/>
          <w:szCs w:val="17"/>
          <w:lang w:eastAsia="en-PH"/>
        </w:rPr>
        <w:t>Altonaga</w:t>
      </w:r>
      <w:proofErr w:type="spellEnd"/>
      <w:r w:rsidRPr="00884687">
        <w:rPr>
          <w:rFonts w:ascii="Verdana" w:eastAsia="Times New Roman" w:hAnsi="Verdana" w:cs="Times New Roman"/>
          <w:color w:val="333333"/>
          <w:sz w:val="17"/>
          <w:szCs w:val="17"/>
          <w:lang w:eastAsia="en-PH"/>
        </w:rPr>
        <w:t>, through his counsel, asked the Opinion of the BIR on the tax consequence of the two sale transactions.</w:t>
      </w:r>
      <w:r w:rsidRPr="00884687">
        <w:rPr>
          <w:rFonts w:ascii="Verdana" w:eastAsia="Times New Roman" w:hAnsi="Verdana" w:cs="Times New Roman"/>
          <w:color w:val="333333"/>
          <w:sz w:val="17"/>
          <w:szCs w:val="17"/>
          <w:vertAlign w:val="superscript"/>
          <w:lang w:eastAsia="en-PH"/>
        </w:rPr>
        <w:t>36</w:t>
      </w:r>
      <w:r w:rsidRPr="00884687">
        <w:rPr>
          <w:rFonts w:ascii="Verdana" w:eastAsia="Times New Roman" w:hAnsi="Verdana" w:cs="Times New Roman"/>
          <w:color w:val="333333"/>
          <w:sz w:val="17"/>
          <w:szCs w:val="17"/>
          <w:lang w:eastAsia="en-PH"/>
        </w:rPr>
        <w:t xml:space="preserve"> Thus, the BIR was amply informed of the transactions even prior to the execution of the necessary documents to effect the transfer. Subsequently, the two sales </w:t>
      </w:r>
      <w:r w:rsidRPr="00884687">
        <w:rPr>
          <w:rFonts w:ascii="Verdana" w:eastAsia="Times New Roman" w:hAnsi="Verdana" w:cs="Times New Roman"/>
          <w:color w:val="333333"/>
          <w:sz w:val="17"/>
          <w:szCs w:val="17"/>
          <w:lang w:eastAsia="en-PH"/>
        </w:rPr>
        <w:lastRenderedPageBreak/>
        <w:t>were openly made with the execution of public documents and the declaration of taxes for 1989. However, these circumstances do not negate the existence of fraud. As earlier discussed those two transactions were tainted with fraud. And even assuming </w:t>
      </w:r>
      <w:r w:rsidRPr="00884687">
        <w:rPr>
          <w:rFonts w:ascii="Verdana" w:eastAsia="Times New Roman" w:hAnsi="Verdana" w:cs="Times New Roman"/>
          <w:i/>
          <w:iCs/>
          <w:color w:val="333333"/>
          <w:sz w:val="17"/>
          <w:szCs w:val="17"/>
          <w:lang w:eastAsia="en-PH"/>
        </w:rPr>
        <w:t>arguendo</w:t>
      </w:r>
      <w:r w:rsidRPr="00884687">
        <w:rPr>
          <w:rFonts w:ascii="Verdana" w:eastAsia="Times New Roman" w:hAnsi="Verdana" w:cs="Times New Roman"/>
          <w:color w:val="333333"/>
          <w:sz w:val="17"/>
          <w:szCs w:val="17"/>
          <w:lang w:eastAsia="en-PH"/>
        </w:rPr>
        <w:t xml:space="preserve"> that there was no fraud, we find that the income tax return filed by CIC for the year 1989 was false. It did not reflect the true or actual amount gained from the sale of the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property. Obviously, such was done with intent to evade or reduce tax liability.</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As stated above, the prescriptive period to assess the correct taxes in case of false returns is ten years from the discovery of the falsity. The false return was filed on 15 April 1990, and the falsity thereof was claimed to have been discovered only on 8 March 1991.</w:t>
      </w:r>
      <w:r w:rsidRPr="00884687">
        <w:rPr>
          <w:rFonts w:ascii="Verdana" w:eastAsia="Times New Roman" w:hAnsi="Verdana" w:cs="Times New Roman"/>
          <w:color w:val="333333"/>
          <w:sz w:val="17"/>
          <w:szCs w:val="17"/>
          <w:vertAlign w:val="superscript"/>
          <w:lang w:eastAsia="en-PH"/>
        </w:rPr>
        <w:t>37</w:t>
      </w:r>
      <w:r w:rsidRPr="00884687">
        <w:rPr>
          <w:rFonts w:ascii="Verdana" w:eastAsia="Times New Roman" w:hAnsi="Verdana" w:cs="Times New Roman"/>
          <w:color w:val="333333"/>
          <w:sz w:val="17"/>
          <w:szCs w:val="17"/>
          <w:lang w:eastAsia="en-PH"/>
        </w:rPr>
        <w:t> </w:t>
      </w:r>
      <w:proofErr w:type="gramStart"/>
      <w:r w:rsidRPr="00884687">
        <w:rPr>
          <w:rFonts w:ascii="Verdana" w:eastAsia="Times New Roman" w:hAnsi="Verdana" w:cs="Times New Roman"/>
          <w:color w:val="333333"/>
          <w:sz w:val="17"/>
          <w:szCs w:val="17"/>
          <w:lang w:eastAsia="en-PH"/>
        </w:rPr>
        <w:t>The</w:t>
      </w:r>
      <w:proofErr w:type="gramEnd"/>
      <w:r w:rsidRPr="00884687">
        <w:rPr>
          <w:rFonts w:ascii="Verdana" w:eastAsia="Times New Roman" w:hAnsi="Verdana" w:cs="Times New Roman"/>
          <w:color w:val="333333"/>
          <w:sz w:val="17"/>
          <w:szCs w:val="17"/>
          <w:lang w:eastAsia="en-PH"/>
        </w:rPr>
        <w:t xml:space="preserve"> assessment for the 1989 deficiency income tax of CIC was issued on 9 January 1995. Clearly, the issuance of the correct assessment for deficiency income tax was well within the prescriptive period.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Is respondent Estate liable for the 1989 deficiency income tax of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Insurance </w:t>
      </w:r>
      <w:proofErr w:type="spellStart"/>
      <w:r w:rsidRPr="00884687">
        <w:rPr>
          <w:rFonts w:ascii="Verdana" w:eastAsia="Times New Roman" w:hAnsi="Verdana" w:cs="Times New Roman"/>
          <w:color w:val="333333"/>
          <w:sz w:val="17"/>
          <w:szCs w:val="17"/>
          <w:lang w:eastAsia="en-PH"/>
        </w:rPr>
        <w:t>Corporation</w:t>
      </w:r>
      <w:proofErr w:type="gramStart"/>
      <w:r w:rsidRPr="00884687">
        <w:rPr>
          <w:rFonts w:ascii="Verdana" w:eastAsia="Times New Roman" w:hAnsi="Verdana" w:cs="Times New Roman"/>
          <w:color w:val="333333"/>
          <w:sz w:val="17"/>
          <w:szCs w:val="17"/>
          <w:lang w:eastAsia="en-PH"/>
        </w:rPr>
        <w:t>?</w:t>
      </w:r>
      <w:r w:rsidRPr="00884687">
        <w:rPr>
          <w:rFonts w:ascii="Verdana" w:eastAsia="Times New Roman" w:hAnsi="Verdana" w:cs="Times New Roman"/>
          <w:color w:val="FFFFFF"/>
          <w:sz w:val="2"/>
          <w:szCs w:val="2"/>
          <w:lang w:eastAsia="en-PH"/>
        </w:rPr>
        <w:t>chanroblesvirtualawlibrary</w:t>
      </w:r>
      <w:proofErr w:type="spellEnd"/>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A corporation has a juridical personality distinct and separate from the persons owning or composing it. Thus, the owners or stockholders of a corporation may not generally be made to answer for the liabilities of a corporation and vice versa. There are, however, certain instances in which personal liability may arise. It has been held in a number of cases that personal liability of a corporate director, trustee, or officer along, albeit not necessarily, with the corporation may validly attach when:</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1. He assents to the (a) patently unlawful act of the corporation, (b) bad faith or gross negligence in directing its affairs, or (c) conflict of interest, resulting in damages to the corporation, its stockholders, or other persons;</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2. He consents to the issuance of watered down stocks or, having knowledge thereof, </w:t>
      </w:r>
      <w:proofErr w:type="gramStart"/>
      <w:r w:rsidRPr="00884687">
        <w:rPr>
          <w:rFonts w:ascii="Verdana" w:eastAsia="Times New Roman" w:hAnsi="Verdana" w:cs="Times New Roman"/>
          <w:color w:val="333333"/>
          <w:sz w:val="17"/>
          <w:szCs w:val="17"/>
          <w:lang w:eastAsia="en-PH"/>
        </w:rPr>
        <w:t>does</w:t>
      </w:r>
      <w:proofErr w:type="gramEnd"/>
      <w:r w:rsidRPr="00884687">
        <w:rPr>
          <w:rFonts w:ascii="Verdana" w:eastAsia="Times New Roman" w:hAnsi="Verdana" w:cs="Times New Roman"/>
          <w:color w:val="333333"/>
          <w:sz w:val="17"/>
          <w:szCs w:val="17"/>
          <w:lang w:eastAsia="en-PH"/>
        </w:rPr>
        <w:t xml:space="preserve"> not forthwith file with the corporate secretary his written objection thereto;</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3. He agrees to hold himself personally and </w:t>
      </w:r>
      <w:proofErr w:type="spellStart"/>
      <w:r w:rsidRPr="00884687">
        <w:rPr>
          <w:rFonts w:ascii="Verdana" w:eastAsia="Times New Roman" w:hAnsi="Verdana" w:cs="Times New Roman"/>
          <w:color w:val="333333"/>
          <w:sz w:val="17"/>
          <w:szCs w:val="17"/>
          <w:lang w:eastAsia="en-PH"/>
        </w:rPr>
        <w:t>solidarily</w:t>
      </w:r>
      <w:proofErr w:type="spellEnd"/>
      <w:r w:rsidRPr="00884687">
        <w:rPr>
          <w:rFonts w:ascii="Verdana" w:eastAsia="Times New Roman" w:hAnsi="Verdana" w:cs="Times New Roman"/>
          <w:color w:val="333333"/>
          <w:sz w:val="17"/>
          <w:szCs w:val="17"/>
          <w:lang w:eastAsia="en-PH"/>
        </w:rPr>
        <w:t xml:space="preserve"> liable with the corporation; or</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4. He is made, by specific provision of law, to personally answer for his corporate action.</w:t>
      </w:r>
      <w:r w:rsidRPr="00884687">
        <w:rPr>
          <w:rFonts w:ascii="Verdana" w:eastAsia="Times New Roman" w:hAnsi="Verdana" w:cs="Times New Roman"/>
          <w:color w:val="333333"/>
          <w:sz w:val="17"/>
          <w:szCs w:val="17"/>
          <w:vertAlign w:val="superscript"/>
          <w:lang w:eastAsia="en-PH"/>
        </w:rPr>
        <w:t>38</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It is worth noting that when the late Toda sold his shares of stock to Le Hun T. </w:t>
      </w:r>
      <w:proofErr w:type="spellStart"/>
      <w:r w:rsidRPr="00884687">
        <w:rPr>
          <w:rFonts w:ascii="Verdana" w:eastAsia="Times New Roman" w:hAnsi="Verdana" w:cs="Times New Roman"/>
          <w:color w:val="333333"/>
          <w:sz w:val="17"/>
          <w:szCs w:val="17"/>
          <w:lang w:eastAsia="en-PH"/>
        </w:rPr>
        <w:t>Choa</w:t>
      </w:r>
      <w:proofErr w:type="spellEnd"/>
      <w:r w:rsidRPr="00884687">
        <w:rPr>
          <w:rFonts w:ascii="Verdana" w:eastAsia="Times New Roman" w:hAnsi="Verdana" w:cs="Times New Roman"/>
          <w:color w:val="333333"/>
          <w:sz w:val="17"/>
          <w:szCs w:val="17"/>
          <w:lang w:eastAsia="en-PH"/>
        </w:rPr>
        <w:t>, he knowingly and voluntarily held himself personally liable for all the tax liabilities of CIC and the buyer for the years 1987, 1988, and 1989. Paragraph g of the Deed of Sale of Shares of Stocks specifically provides:</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g. Except for transactions occurring in the ordinary course of business,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has no liabilities or obligations, contingent or otherwise, for taxes, sums of money or insurance claims other than those reported in its audited financial statement as of December 31, 1989, attached hereto as "Annex B" and made a part hereof. The business of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has at all times been conducted in full compliance with all applicable laws, rules and regulations. </w:t>
      </w:r>
      <w:r w:rsidRPr="00884687">
        <w:rPr>
          <w:rFonts w:ascii="Verdana" w:eastAsia="Times New Roman" w:hAnsi="Verdana" w:cs="Times New Roman"/>
          <w:b/>
          <w:bCs/>
          <w:color w:val="333333"/>
          <w:sz w:val="17"/>
          <w:szCs w:val="17"/>
          <w:lang w:eastAsia="en-PH"/>
        </w:rPr>
        <w:t xml:space="preserve">SELLER undertakes and agrees to hold the BUYER and </w:t>
      </w:r>
      <w:proofErr w:type="spellStart"/>
      <w:r w:rsidRPr="00884687">
        <w:rPr>
          <w:rFonts w:ascii="Verdana" w:eastAsia="Times New Roman" w:hAnsi="Verdana" w:cs="Times New Roman"/>
          <w:b/>
          <w:bCs/>
          <w:color w:val="333333"/>
          <w:sz w:val="17"/>
          <w:szCs w:val="17"/>
          <w:lang w:eastAsia="en-PH"/>
        </w:rPr>
        <w:t>Cibeles</w:t>
      </w:r>
      <w:proofErr w:type="spellEnd"/>
      <w:r w:rsidRPr="00884687">
        <w:rPr>
          <w:rFonts w:ascii="Verdana" w:eastAsia="Times New Roman" w:hAnsi="Verdana" w:cs="Times New Roman"/>
          <w:b/>
          <w:bCs/>
          <w:color w:val="333333"/>
          <w:sz w:val="17"/>
          <w:szCs w:val="17"/>
          <w:lang w:eastAsia="en-PH"/>
        </w:rPr>
        <w:t xml:space="preserve"> free from any and all income tax liabilities of </w:t>
      </w:r>
      <w:proofErr w:type="spellStart"/>
      <w:r w:rsidRPr="00884687">
        <w:rPr>
          <w:rFonts w:ascii="Verdana" w:eastAsia="Times New Roman" w:hAnsi="Verdana" w:cs="Times New Roman"/>
          <w:b/>
          <w:bCs/>
          <w:color w:val="333333"/>
          <w:sz w:val="17"/>
          <w:szCs w:val="17"/>
          <w:lang w:eastAsia="en-PH"/>
        </w:rPr>
        <w:t>Cibeles</w:t>
      </w:r>
      <w:proofErr w:type="spellEnd"/>
      <w:r w:rsidRPr="00884687">
        <w:rPr>
          <w:rFonts w:ascii="Verdana" w:eastAsia="Times New Roman" w:hAnsi="Verdana" w:cs="Times New Roman"/>
          <w:b/>
          <w:bCs/>
          <w:color w:val="333333"/>
          <w:sz w:val="17"/>
          <w:szCs w:val="17"/>
          <w:lang w:eastAsia="en-PH"/>
        </w:rPr>
        <w:t xml:space="preserve"> for the fiscal years 1987, 1988 and 1989.</w:t>
      </w:r>
      <w:r w:rsidRPr="00884687">
        <w:rPr>
          <w:rFonts w:ascii="Verdana" w:eastAsia="Times New Roman" w:hAnsi="Verdana" w:cs="Times New Roman"/>
          <w:color w:val="333333"/>
          <w:sz w:val="17"/>
          <w:szCs w:val="17"/>
          <w:vertAlign w:val="superscript"/>
          <w:lang w:eastAsia="en-PH"/>
        </w:rPr>
        <w:t>39</w:t>
      </w:r>
      <w:r w:rsidRPr="00884687">
        <w:rPr>
          <w:rFonts w:ascii="Verdana" w:eastAsia="Times New Roman" w:hAnsi="Verdana" w:cs="Times New Roman"/>
          <w:color w:val="333333"/>
          <w:sz w:val="17"/>
          <w:szCs w:val="17"/>
          <w:lang w:eastAsia="en-PH"/>
        </w:rPr>
        <w:t> [Underscoring Supplied].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xml:space="preserve">When the late Toda undertook and agreed "to hold the BUYER and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free from any all income tax liabilities of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for the fiscal years 1987, 1988, and 1989," he thereby voluntarily held himself personally liable therefor. Respondent estate cannot, therefore, deny liability for CIC's deficiency income tax for the year 1989 by invoking the separate corporate personality of CIC, since its obligation arose from Toda's contractual undertaking, as contained in the </w:t>
      </w:r>
      <w:r w:rsidRPr="00884687">
        <w:rPr>
          <w:rFonts w:ascii="Verdana" w:eastAsia="Times New Roman" w:hAnsi="Verdana" w:cs="Times New Roman"/>
          <w:i/>
          <w:iCs/>
          <w:color w:val="333333"/>
          <w:sz w:val="17"/>
          <w:szCs w:val="17"/>
          <w:lang w:eastAsia="en-PH"/>
        </w:rPr>
        <w:t>Deed of Sale of Shares of Stock.</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b/>
          <w:bCs/>
          <w:color w:val="333333"/>
          <w:sz w:val="17"/>
          <w:szCs w:val="17"/>
          <w:lang w:eastAsia="en-PH"/>
        </w:rPr>
        <w:t>WHEREFORE</w:t>
      </w:r>
      <w:r w:rsidRPr="00884687">
        <w:rPr>
          <w:rFonts w:ascii="Verdana" w:eastAsia="Times New Roman" w:hAnsi="Verdana" w:cs="Times New Roman"/>
          <w:color w:val="333333"/>
          <w:sz w:val="17"/>
          <w:szCs w:val="17"/>
          <w:lang w:eastAsia="en-PH"/>
        </w:rPr>
        <w:t>, in view of all the foregoing, the petition is hereby </w:t>
      </w:r>
      <w:r w:rsidRPr="00884687">
        <w:rPr>
          <w:rFonts w:ascii="Verdana" w:eastAsia="Times New Roman" w:hAnsi="Verdana" w:cs="Times New Roman"/>
          <w:b/>
          <w:bCs/>
          <w:color w:val="333333"/>
          <w:sz w:val="17"/>
          <w:szCs w:val="17"/>
          <w:lang w:eastAsia="en-PH"/>
        </w:rPr>
        <w:t>GRANTED</w:t>
      </w:r>
      <w:r w:rsidRPr="00884687">
        <w:rPr>
          <w:rFonts w:ascii="Verdana" w:eastAsia="Times New Roman" w:hAnsi="Verdana" w:cs="Times New Roman"/>
          <w:color w:val="333333"/>
          <w:sz w:val="17"/>
          <w:szCs w:val="17"/>
          <w:lang w:eastAsia="en-PH"/>
        </w:rPr>
        <w:t>. The decision of the Court of Appeals of 31 January 2001 in CA-G.R. SP No. 57799 is </w:t>
      </w:r>
      <w:r w:rsidRPr="00884687">
        <w:rPr>
          <w:rFonts w:ascii="Verdana" w:eastAsia="Times New Roman" w:hAnsi="Verdana" w:cs="Times New Roman"/>
          <w:b/>
          <w:bCs/>
          <w:color w:val="333333"/>
          <w:sz w:val="17"/>
          <w:szCs w:val="17"/>
          <w:lang w:eastAsia="en-PH"/>
        </w:rPr>
        <w:t>REVERSED</w:t>
      </w:r>
      <w:r w:rsidRPr="00884687">
        <w:rPr>
          <w:rFonts w:ascii="Verdana" w:eastAsia="Times New Roman" w:hAnsi="Verdana" w:cs="Times New Roman"/>
          <w:color w:val="333333"/>
          <w:sz w:val="17"/>
          <w:szCs w:val="17"/>
          <w:lang w:eastAsia="en-PH"/>
        </w:rPr>
        <w:t> and </w:t>
      </w:r>
      <w:r w:rsidRPr="00884687">
        <w:rPr>
          <w:rFonts w:ascii="Verdana" w:eastAsia="Times New Roman" w:hAnsi="Verdana" w:cs="Times New Roman"/>
          <w:b/>
          <w:bCs/>
          <w:color w:val="333333"/>
          <w:sz w:val="17"/>
          <w:szCs w:val="17"/>
          <w:lang w:eastAsia="en-PH"/>
        </w:rPr>
        <w:t>SET ASIDE</w:t>
      </w:r>
      <w:r w:rsidRPr="00884687">
        <w:rPr>
          <w:rFonts w:ascii="Verdana" w:eastAsia="Times New Roman" w:hAnsi="Verdana" w:cs="Times New Roman"/>
          <w:color w:val="333333"/>
          <w:sz w:val="17"/>
          <w:szCs w:val="17"/>
          <w:lang w:eastAsia="en-PH"/>
        </w:rPr>
        <w:t xml:space="preserve">, and another one is hereby rendered ordering respondent Estate of </w:t>
      </w:r>
      <w:proofErr w:type="spellStart"/>
      <w:r w:rsidRPr="00884687">
        <w:rPr>
          <w:rFonts w:ascii="Verdana" w:eastAsia="Times New Roman" w:hAnsi="Verdana" w:cs="Times New Roman"/>
          <w:color w:val="333333"/>
          <w:sz w:val="17"/>
          <w:szCs w:val="17"/>
          <w:lang w:eastAsia="en-PH"/>
        </w:rPr>
        <w:t>Benigno</w:t>
      </w:r>
      <w:proofErr w:type="spellEnd"/>
      <w:r w:rsidRPr="00884687">
        <w:rPr>
          <w:rFonts w:ascii="Verdana" w:eastAsia="Times New Roman" w:hAnsi="Verdana" w:cs="Times New Roman"/>
          <w:color w:val="333333"/>
          <w:sz w:val="17"/>
          <w:szCs w:val="17"/>
          <w:lang w:eastAsia="en-PH"/>
        </w:rPr>
        <w:t xml:space="preserve"> P. Toda Jr. to pay </w:t>
      </w:r>
      <w:r w:rsidRPr="00884687">
        <w:rPr>
          <w:rFonts w:ascii="Verdana" w:eastAsia="Times New Roman" w:hAnsi="Verdana" w:cs="Times New Roman"/>
          <w:strike/>
          <w:color w:val="333333"/>
          <w:sz w:val="17"/>
          <w:szCs w:val="17"/>
          <w:lang w:eastAsia="en-PH"/>
        </w:rPr>
        <w:t>P</w:t>
      </w:r>
      <w:r w:rsidRPr="00884687">
        <w:rPr>
          <w:rFonts w:ascii="Verdana" w:eastAsia="Times New Roman" w:hAnsi="Verdana" w:cs="Times New Roman"/>
          <w:color w:val="333333"/>
          <w:sz w:val="17"/>
          <w:szCs w:val="17"/>
          <w:lang w:eastAsia="en-PH"/>
        </w:rPr>
        <w:t>79</w:t>
      </w:r>
      <w:proofErr w:type="gramStart"/>
      <w:r w:rsidRPr="00884687">
        <w:rPr>
          <w:rFonts w:ascii="Verdana" w:eastAsia="Times New Roman" w:hAnsi="Verdana" w:cs="Times New Roman"/>
          <w:color w:val="333333"/>
          <w:sz w:val="17"/>
          <w:szCs w:val="17"/>
          <w:lang w:eastAsia="en-PH"/>
        </w:rPr>
        <w:t>,099,999.22</w:t>
      </w:r>
      <w:proofErr w:type="gramEnd"/>
      <w:r w:rsidRPr="00884687">
        <w:rPr>
          <w:rFonts w:ascii="Verdana" w:eastAsia="Times New Roman" w:hAnsi="Verdana" w:cs="Times New Roman"/>
          <w:color w:val="333333"/>
          <w:sz w:val="17"/>
          <w:szCs w:val="17"/>
          <w:lang w:eastAsia="en-PH"/>
        </w:rPr>
        <w:t xml:space="preserve"> as deficiency income tax of </w:t>
      </w:r>
      <w:proofErr w:type="spellStart"/>
      <w:r w:rsidRPr="00884687">
        <w:rPr>
          <w:rFonts w:ascii="Verdana" w:eastAsia="Times New Roman" w:hAnsi="Verdana" w:cs="Times New Roman"/>
          <w:color w:val="333333"/>
          <w:sz w:val="17"/>
          <w:szCs w:val="17"/>
          <w:lang w:eastAsia="en-PH"/>
        </w:rPr>
        <w:t>Cibeles</w:t>
      </w:r>
      <w:proofErr w:type="spellEnd"/>
      <w:r w:rsidRPr="00884687">
        <w:rPr>
          <w:rFonts w:ascii="Verdana" w:eastAsia="Times New Roman" w:hAnsi="Verdana" w:cs="Times New Roman"/>
          <w:color w:val="333333"/>
          <w:sz w:val="17"/>
          <w:szCs w:val="17"/>
          <w:lang w:eastAsia="en-PH"/>
        </w:rPr>
        <w:t xml:space="preserve"> Insurance Corporation for the year 1989, plus legal interest from 1 May 1994 until the amount is fully paid.</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lang w:eastAsia="en-PH"/>
        </w:rPr>
        <w:t>Costs against respondent.</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b/>
          <w:bCs/>
          <w:color w:val="333333"/>
          <w:sz w:val="17"/>
          <w:szCs w:val="17"/>
          <w:lang w:eastAsia="en-PH"/>
        </w:rPr>
        <w:t>SO ORDERED.</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spellStart"/>
      <w:r w:rsidRPr="00884687">
        <w:rPr>
          <w:rFonts w:ascii="Verdana" w:eastAsia="Times New Roman" w:hAnsi="Verdana" w:cs="Times New Roman"/>
          <w:b/>
          <w:bCs/>
          <w:color w:val="333333"/>
          <w:sz w:val="17"/>
          <w:szCs w:val="17"/>
          <w:lang w:eastAsia="en-PH"/>
        </w:rPr>
        <w:lastRenderedPageBreak/>
        <w:t>Quisumbing</w:t>
      </w:r>
      <w:proofErr w:type="spellEnd"/>
      <w:r w:rsidRPr="00884687">
        <w:rPr>
          <w:rFonts w:ascii="Verdana" w:eastAsia="Times New Roman" w:hAnsi="Verdana" w:cs="Times New Roman"/>
          <w:b/>
          <w:bCs/>
          <w:color w:val="333333"/>
          <w:sz w:val="17"/>
          <w:szCs w:val="17"/>
          <w:lang w:eastAsia="en-PH"/>
        </w:rPr>
        <w:t xml:space="preserve">, </w:t>
      </w:r>
      <w:proofErr w:type="spellStart"/>
      <w:r w:rsidRPr="00884687">
        <w:rPr>
          <w:rFonts w:ascii="Verdana" w:eastAsia="Times New Roman" w:hAnsi="Verdana" w:cs="Times New Roman"/>
          <w:b/>
          <w:bCs/>
          <w:color w:val="333333"/>
          <w:sz w:val="17"/>
          <w:szCs w:val="17"/>
          <w:lang w:eastAsia="en-PH"/>
        </w:rPr>
        <w:t>Ynares</w:t>
      </w:r>
      <w:proofErr w:type="spellEnd"/>
      <w:r w:rsidRPr="00884687">
        <w:rPr>
          <w:rFonts w:ascii="Verdana" w:eastAsia="Times New Roman" w:hAnsi="Verdana" w:cs="Times New Roman"/>
          <w:b/>
          <w:bCs/>
          <w:color w:val="333333"/>
          <w:sz w:val="17"/>
          <w:szCs w:val="17"/>
          <w:lang w:eastAsia="en-PH"/>
        </w:rPr>
        <w:t xml:space="preserve">-Santiago, </w:t>
      </w:r>
      <w:proofErr w:type="spellStart"/>
      <w:r w:rsidRPr="00884687">
        <w:rPr>
          <w:rFonts w:ascii="Verdana" w:eastAsia="Times New Roman" w:hAnsi="Verdana" w:cs="Times New Roman"/>
          <w:b/>
          <w:bCs/>
          <w:color w:val="333333"/>
          <w:sz w:val="17"/>
          <w:szCs w:val="17"/>
          <w:lang w:eastAsia="en-PH"/>
        </w:rPr>
        <w:t>Carpio</w:t>
      </w:r>
      <w:proofErr w:type="spellEnd"/>
      <w:r w:rsidRPr="00884687">
        <w:rPr>
          <w:rFonts w:ascii="Verdana" w:eastAsia="Times New Roman" w:hAnsi="Verdana" w:cs="Times New Roman"/>
          <w:b/>
          <w:bCs/>
          <w:color w:val="333333"/>
          <w:sz w:val="17"/>
          <w:szCs w:val="17"/>
          <w:lang w:eastAsia="en-PH"/>
        </w:rPr>
        <w:t xml:space="preserve">, and </w:t>
      </w:r>
      <w:proofErr w:type="spellStart"/>
      <w:r w:rsidRPr="00884687">
        <w:rPr>
          <w:rFonts w:ascii="Verdana" w:eastAsia="Times New Roman" w:hAnsi="Verdana" w:cs="Times New Roman"/>
          <w:b/>
          <w:bCs/>
          <w:color w:val="333333"/>
          <w:sz w:val="17"/>
          <w:szCs w:val="17"/>
          <w:lang w:eastAsia="en-PH"/>
        </w:rPr>
        <w:t>Azcuna</w:t>
      </w:r>
      <w:proofErr w:type="spellEnd"/>
      <w:r w:rsidRPr="00884687">
        <w:rPr>
          <w:rFonts w:ascii="Verdana" w:eastAsia="Times New Roman" w:hAnsi="Verdana" w:cs="Times New Roman"/>
          <w:b/>
          <w:bCs/>
          <w:color w:val="333333"/>
          <w:sz w:val="17"/>
          <w:szCs w:val="17"/>
          <w:lang w:eastAsia="en-PH"/>
        </w:rPr>
        <w:t>, </w:t>
      </w:r>
      <w:proofErr w:type="gramStart"/>
      <w:r w:rsidRPr="00884687">
        <w:rPr>
          <w:rFonts w:ascii="Verdana" w:eastAsia="Times New Roman" w:hAnsi="Verdana" w:cs="Times New Roman"/>
          <w:b/>
          <w:bCs/>
          <w:i/>
          <w:iCs/>
          <w:color w:val="333333"/>
          <w:sz w:val="17"/>
          <w:szCs w:val="17"/>
          <w:lang w:eastAsia="en-PH"/>
        </w:rPr>
        <w:t>JJ.</w:t>
      </w:r>
      <w:r w:rsidRPr="00884687">
        <w:rPr>
          <w:rFonts w:ascii="Verdana" w:eastAsia="Times New Roman" w:hAnsi="Verdana" w:cs="Times New Roman"/>
          <w:b/>
          <w:bCs/>
          <w:color w:val="333333"/>
          <w:sz w:val="17"/>
          <w:szCs w:val="17"/>
          <w:lang w:eastAsia="en-PH"/>
        </w:rPr>
        <w:t>,</w:t>
      </w:r>
      <w:proofErr w:type="gramEnd"/>
      <w:r w:rsidRPr="00884687">
        <w:rPr>
          <w:rFonts w:ascii="Verdana" w:eastAsia="Times New Roman" w:hAnsi="Verdana" w:cs="Times New Roman"/>
          <w:b/>
          <w:bCs/>
          <w:color w:val="333333"/>
          <w:sz w:val="17"/>
          <w:szCs w:val="17"/>
          <w:lang w:eastAsia="en-PH"/>
        </w:rPr>
        <w:t xml:space="preserve"> concur.</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b/>
          <w:bCs/>
          <w:i/>
          <w:iCs/>
          <w:color w:val="990000"/>
          <w:sz w:val="17"/>
          <w:szCs w:val="17"/>
          <w:lang w:eastAsia="en-PH"/>
        </w:rPr>
        <w:t>Endnotes:</w:t>
      </w:r>
    </w:p>
    <w:p w:rsidR="00884687" w:rsidRPr="00884687" w:rsidRDefault="00884687" w:rsidP="00884687">
      <w:pPr>
        <w:spacing w:after="0" w:line="240" w:lineRule="auto"/>
        <w:rPr>
          <w:rFonts w:ascii="Times New Roman" w:eastAsia="Times New Roman" w:hAnsi="Times New Roman" w:cs="Times New Roman"/>
          <w:sz w:val="24"/>
          <w:szCs w:val="24"/>
          <w:lang w:eastAsia="en-PH"/>
        </w:rPr>
      </w:pPr>
      <w:r w:rsidRPr="00884687">
        <w:rPr>
          <w:rFonts w:ascii="Times New Roman" w:eastAsia="Times New Roman" w:hAnsi="Times New Roman" w:cs="Times New Roman"/>
          <w:sz w:val="24"/>
          <w:szCs w:val="24"/>
          <w:lang w:eastAsia="en-PH"/>
        </w:rPr>
        <w:pict>
          <v:rect id="_x0000_i1030" style="width:280.8pt;height:.75pt" o:hrpct="600" o:hrstd="t" o:hrnoshade="t" o:hr="t" fillcolor="#333" stroked="f"/>
        </w:pic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w:t>
      </w:r>
      <w:r w:rsidRPr="00884687">
        <w:rPr>
          <w:rFonts w:ascii="Verdana" w:eastAsia="Times New Roman" w:hAnsi="Verdana" w:cs="Times New Roman"/>
          <w:color w:val="333333"/>
          <w:sz w:val="17"/>
          <w:szCs w:val="17"/>
          <w:lang w:eastAsia="en-PH"/>
        </w:rPr>
        <w:t xml:space="preserve"> Rollo, 22-31. </w:t>
      </w:r>
      <w:proofErr w:type="gramStart"/>
      <w:r w:rsidRPr="00884687">
        <w:rPr>
          <w:rFonts w:ascii="Verdana" w:eastAsia="Times New Roman" w:hAnsi="Verdana" w:cs="Times New Roman"/>
          <w:color w:val="333333"/>
          <w:sz w:val="17"/>
          <w:szCs w:val="17"/>
          <w:lang w:eastAsia="en-PH"/>
        </w:rPr>
        <w:t xml:space="preserve">Per Associate Justice Rodrigo V. </w:t>
      </w:r>
      <w:proofErr w:type="spellStart"/>
      <w:r w:rsidRPr="00884687">
        <w:rPr>
          <w:rFonts w:ascii="Verdana" w:eastAsia="Times New Roman" w:hAnsi="Verdana" w:cs="Times New Roman"/>
          <w:color w:val="333333"/>
          <w:sz w:val="17"/>
          <w:szCs w:val="17"/>
          <w:lang w:eastAsia="en-PH"/>
        </w:rPr>
        <w:t>Cosico</w:t>
      </w:r>
      <w:proofErr w:type="spellEnd"/>
      <w:r w:rsidRPr="00884687">
        <w:rPr>
          <w:rFonts w:ascii="Verdana" w:eastAsia="Times New Roman" w:hAnsi="Verdana" w:cs="Times New Roman"/>
          <w:color w:val="333333"/>
          <w:sz w:val="17"/>
          <w:szCs w:val="17"/>
          <w:lang w:eastAsia="en-PH"/>
        </w:rPr>
        <w:t>, with Associate Justices Ramon A. Barcelona and Alicia J. Santos concurring.</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2</w:t>
      </w:r>
      <w:r w:rsidRPr="00884687">
        <w:rPr>
          <w:rFonts w:ascii="Verdana" w:eastAsia="Times New Roman" w:hAnsi="Verdana" w:cs="Times New Roman"/>
          <w:color w:val="333333"/>
          <w:sz w:val="17"/>
          <w:szCs w:val="17"/>
          <w:lang w:eastAsia="en-PH"/>
        </w:rPr>
        <w:t xml:space="preserve"> Id., 32-41; CTA Records, 524-533. </w:t>
      </w:r>
      <w:proofErr w:type="gramStart"/>
      <w:r w:rsidRPr="00884687">
        <w:rPr>
          <w:rFonts w:ascii="Verdana" w:eastAsia="Times New Roman" w:hAnsi="Verdana" w:cs="Times New Roman"/>
          <w:color w:val="333333"/>
          <w:sz w:val="17"/>
          <w:szCs w:val="17"/>
          <w:lang w:eastAsia="en-PH"/>
        </w:rPr>
        <w:t xml:space="preserve">Per Presiding Judge Ernesto D. Acosta, with Associate Judges Ramon O. De </w:t>
      </w:r>
      <w:proofErr w:type="spellStart"/>
      <w:r w:rsidRPr="00884687">
        <w:rPr>
          <w:rFonts w:ascii="Verdana" w:eastAsia="Times New Roman" w:hAnsi="Verdana" w:cs="Times New Roman"/>
          <w:color w:val="333333"/>
          <w:sz w:val="17"/>
          <w:szCs w:val="17"/>
          <w:lang w:eastAsia="en-PH"/>
        </w:rPr>
        <w:t>Veyra</w:t>
      </w:r>
      <w:proofErr w:type="spellEnd"/>
      <w:r w:rsidRPr="00884687">
        <w:rPr>
          <w:rFonts w:ascii="Verdana" w:eastAsia="Times New Roman" w:hAnsi="Verdana" w:cs="Times New Roman"/>
          <w:color w:val="333333"/>
          <w:sz w:val="17"/>
          <w:szCs w:val="17"/>
          <w:lang w:eastAsia="en-PH"/>
        </w:rPr>
        <w:t xml:space="preserve"> and </w:t>
      </w:r>
      <w:proofErr w:type="spellStart"/>
      <w:r w:rsidRPr="00884687">
        <w:rPr>
          <w:rFonts w:ascii="Verdana" w:eastAsia="Times New Roman" w:hAnsi="Verdana" w:cs="Times New Roman"/>
          <w:color w:val="333333"/>
          <w:sz w:val="17"/>
          <w:szCs w:val="17"/>
          <w:lang w:eastAsia="en-PH"/>
        </w:rPr>
        <w:t>Amancio</w:t>
      </w:r>
      <w:proofErr w:type="spellEnd"/>
      <w:r w:rsidRPr="00884687">
        <w:rPr>
          <w:rFonts w:ascii="Verdana" w:eastAsia="Times New Roman" w:hAnsi="Verdana" w:cs="Times New Roman"/>
          <w:color w:val="333333"/>
          <w:sz w:val="17"/>
          <w:szCs w:val="17"/>
          <w:lang w:eastAsia="en-PH"/>
        </w:rPr>
        <w:t xml:space="preserve"> Q. Saga concurring.</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w:t>
      </w:r>
      <w:r w:rsidRPr="00884687">
        <w:rPr>
          <w:rFonts w:ascii="Verdana" w:eastAsia="Times New Roman" w:hAnsi="Verdana" w:cs="Times New Roman"/>
          <w:color w:val="333333"/>
          <w:sz w:val="17"/>
          <w:szCs w:val="17"/>
          <w:lang w:eastAsia="en-PH"/>
        </w:rPr>
        <w:t xml:space="preserve"> Entitled "The Estate of </w:t>
      </w:r>
      <w:proofErr w:type="spellStart"/>
      <w:r w:rsidRPr="00884687">
        <w:rPr>
          <w:rFonts w:ascii="Verdana" w:eastAsia="Times New Roman" w:hAnsi="Verdana" w:cs="Times New Roman"/>
          <w:color w:val="333333"/>
          <w:sz w:val="17"/>
          <w:szCs w:val="17"/>
          <w:lang w:eastAsia="en-PH"/>
        </w:rPr>
        <w:t>Benigno</w:t>
      </w:r>
      <w:proofErr w:type="spellEnd"/>
      <w:r w:rsidRPr="00884687">
        <w:rPr>
          <w:rFonts w:ascii="Verdana" w:eastAsia="Times New Roman" w:hAnsi="Verdana" w:cs="Times New Roman"/>
          <w:color w:val="333333"/>
          <w:sz w:val="17"/>
          <w:szCs w:val="17"/>
          <w:lang w:eastAsia="en-PH"/>
        </w:rPr>
        <w:t xml:space="preserve"> P. Toda, Jr., represented by Special Co-Administrators Lorna </w:t>
      </w:r>
      <w:proofErr w:type="spellStart"/>
      <w:r w:rsidRPr="00884687">
        <w:rPr>
          <w:rFonts w:ascii="Verdana" w:eastAsia="Times New Roman" w:hAnsi="Verdana" w:cs="Times New Roman"/>
          <w:color w:val="333333"/>
          <w:sz w:val="17"/>
          <w:szCs w:val="17"/>
          <w:lang w:eastAsia="en-PH"/>
        </w:rPr>
        <w:t>Patajo-Kapunan</w:t>
      </w:r>
      <w:proofErr w:type="spellEnd"/>
      <w:r w:rsidRPr="00884687">
        <w:rPr>
          <w:rFonts w:ascii="Verdana" w:eastAsia="Times New Roman" w:hAnsi="Verdana" w:cs="Times New Roman"/>
          <w:color w:val="333333"/>
          <w:sz w:val="17"/>
          <w:szCs w:val="17"/>
          <w:lang w:eastAsia="en-PH"/>
        </w:rPr>
        <w:t xml:space="preserve"> and Mario </w:t>
      </w:r>
      <w:proofErr w:type="spellStart"/>
      <w:r w:rsidRPr="00884687">
        <w:rPr>
          <w:rFonts w:ascii="Verdana" w:eastAsia="Times New Roman" w:hAnsi="Verdana" w:cs="Times New Roman"/>
          <w:color w:val="333333"/>
          <w:sz w:val="17"/>
          <w:szCs w:val="17"/>
          <w:lang w:eastAsia="en-PH"/>
        </w:rPr>
        <w:t>Luza</w:t>
      </w:r>
      <w:proofErr w:type="spellEnd"/>
      <w:r w:rsidRPr="00884687">
        <w:rPr>
          <w:rFonts w:ascii="Verdana" w:eastAsia="Times New Roman" w:hAnsi="Verdana" w:cs="Times New Roman"/>
          <w:color w:val="333333"/>
          <w:sz w:val="17"/>
          <w:szCs w:val="17"/>
          <w:lang w:eastAsia="en-PH"/>
        </w:rPr>
        <w:t xml:space="preserve"> Bautista v. Commissioner of Internal Revenue."</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4</w:t>
      </w:r>
      <w:r w:rsidRPr="00884687">
        <w:rPr>
          <w:rFonts w:ascii="Verdana" w:eastAsia="Times New Roman" w:hAnsi="Verdana" w:cs="Times New Roman"/>
          <w:color w:val="333333"/>
          <w:sz w:val="17"/>
          <w:szCs w:val="17"/>
          <w:lang w:eastAsia="en-PH"/>
        </w:rPr>
        <w:t> CA Rollo, 73.</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5</w:t>
      </w:r>
      <w:r w:rsidRPr="00884687">
        <w:rPr>
          <w:rFonts w:ascii="Verdana" w:eastAsia="Times New Roman" w:hAnsi="Verdana" w:cs="Times New Roman"/>
          <w:color w:val="333333"/>
          <w:sz w:val="17"/>
          <w:szCs w:val="17"/>
          <w:lang w:eastAsia="en-PH"/>
        </w:rPr>
        <w:t> CA Rollo, 74-78; 88-92.</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6</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"E," CTA Records, 306.</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7</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"L," CTA Records, 340.</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8</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"M," "M-1," "N" and "N-1," CTA Records, 316-317.</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9</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"P," CTA Records, 357-365.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10</w:t>
      </w:r>
      <w:r w:rsidRPr="00884687">
        <w:rPr>
          <w:rFonts w:ascii="Verdana" w:eastAsia="Times New Roman" w:hAnsi="Verdana" w:cs="Times New Roman"/>
          <w:color w:val="333333"/>
          <w:sz w:val="17"/>
          <w:szCs w:val="17"/>
          <w:lang w:eastAsia="en-PH"/>
        </w:rPr>
        <w:t> BIR Records, 448-449.</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11</w:t>
      </w:r>
      <w:r w:rsidRPr="00884687">
        <w:rPr>
          <w:rFonts w:ascii="Verdana" w:eastAsia="Times New Roman" w:hAnsi="Verdana" w:cs="Times New Roman"/>
          <w:i/>
          <w:iCs/>
          <w:color w:val="333333"/>
          <w:sz w:val="17"/>
          <w:szCs w:val="17"/>
          <w:lang w:eastAsia="en-PH"/>
        </w:rPr>
        <w:t>Id.</w:t>
      </w:r>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446-447.</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12</w:t>
      </w:r>
      <w:r w:rsidRPr="00884687">
        <w:rPr>
          <w:rFonts w:ascii="Verdana" w:eastAsia="Times New Roman" w:hAnsi="Verdana" w:cs="Times New Roman"/>
          <w:i/>
          <w:iCs/>
          <w:color w:val="333333"/>
          <w:sz w:val="17"/>
          <w:szCs w:val="17"/>
          <w:lang w:eastAsia="en-PH"/>
        </w:rPr>
        <w:t>Id.</w:t>
      </w:r>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474-475.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13</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"H," CTA Records, 314-315.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14</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"G," CTA Records, 311-312.</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15</w:t>
      </w:r>
      <w:r w:rsidRPr="00884687">
        <w:rPr>
          <w:rFonts w:ascii="Verdana" w:eastAsia="Times New Roman" w:hAnsi="Verdana" w:cs="Times New Roman"/>
          <w:color w:val="333333"/>
          <w:sz w:val="17"/>
          <w:szCs w:val="17"/>
          <w:lang w:eastAsia="en-PH"/>
        </w:rPr>
        <w:t> CTA Records, 1-15.</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16</w:t>
      </w:r>
      <w:r w:rsidRPr="00884687">
        <w:rPr>
          <w:rFonts w:ascii="Verdana" w:eastAsia="Times New Roman" w:hAnsi="Verdana" w:cs="Times New Roman"/>
          <w:color w:val="333333"/>
          <w:sz w:val="17"/>
          <w:szCs w:val="17"/>
          <w:lang w:eastAsia="en-PH"/>
        </w:rPr>
        <w:t> CTA Records, 104-111.</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17</w:t>
      </w:r>
      <w:r w:rsidRPr="00884687">
        <w:rPr>
          <w:rFonts w:ascii="Verdana" w:eastAsia="Times New Roman" w:hAnsi="Verdana" w:cs="Times New Roman"/>
          <w:color w:val="333333"/>
          <w:sz w:val="17"/>
          <w:szCs w:val="17"/>
          <w:lang w:eastAsia="en-PH"/>
        </w:rPr>
        <w:t> Id., 121-128.</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18</w:t>
      </w:r>
      <w:r w:rsidRPr="00884687">
        <w:rPr>
          <w:rFonts w:ascii="Verdana" w:eastAsia="Times New Roman" w:hAnsi="Verdana" w:cs="Times New Roman"/>
          <w:color w:val="333333"/>
          <w:sz w:val="17"/>
          <w:szCs w:val="17"/>
          <w:lang w:eastAsia="en-PH"/>
        </w:rPr>
        <w:t> CTA Records 535-540.</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19</w:t>
      </w:r>
      <w:r w:rsidRPr="00884687">
        <w:rPr>
          <w:rFonts w:ascii="Verdana" w:eastAsia="Times New Roman" w:hAnsi="Verdana" w:cs="Times New Roman"/>
          <w:i/>
          <w:iCs/>
          <w:color w:val="333333"/>
          <w:sz w:val="17"/>
          <w:szCs w:val="17"/>
          <w:lang w:eastAsia="en-PH"/>
        </w:rPr>
        <w:t>Id.</w:t>
      </w:r>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534, 539.</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20</w:t>
      </w:r>
      <w:r w:rsidRPr="00884687">
        <w:rPr>
          <w:rFonts w:ascii="Verdana" w:eastAsia="Times New Roman" w:hAnsi="Verdana" w:cs="Times New Roman"/>
          <w:color w:val="333333"/>
          <w:sz w:val="17"/>
          <w:szCs w:val="17"/>
          <w:lang w:eastAsia="en-PH"/>
        </w:rPr>
        <w:t> Id., 550; CA Rollo, 32.</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21</w:t>
      </w:r>
      <w:r w:rsidRPr="00884687">
        <w:rPr>
          <w:rFonts w:ascii="Verdana" w:eastAsia="Times New Roman" w:hAnsi="Verdana" w:cs="Times New Roman"/>
          <w:color w:val="333333"/>
          <w:sz w:val="17"/>
          <w:szCs w:val="17"/>
          <w:lang w:eastAsia="en-PH"/>
        </w:rPr>
        <w:t> CA Rollo, 7-20.</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22</w:t>
      </w:r>
      <w:r w:rsidRPr="00884687">
        <w:rPr>
          <w:rFonts w:ascii="Verdana" w:eastAsia="Times New Roman" w:hAnsi="Verdana" w:cs="Times New Roman"/>
          <w:color w:val="333333"/>
          <w:sz w:val="17"/>
          <w:szCs w:val="17"/>
          <w:lang w:eastAsia="en-PH"/>
        </w:rPr>
        <w:t> Rollo, 30.</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lastRenderedPageBreak/>
        <w:t>23</w:t>
      </w:r>
      <w:r w:rsidRPr="00884687">
        <w:rPr>
          <w:rFonts w:ascii="Verdana" w:eastAsia="Times New Roman" w:hAnsi="Verdana" w:cs="Times New Roman"/>
          <w:color w:val="333333"/>
          <w:sz w:val="17"/>
          <w:szCs w:val="17"/>
          <w:lang w:eastAsia="en-PH"/>
        </w:rPr>
        <w:t xml:space="preserve"> Jose C. </w:t>
      </w:r>
      <w:proofErr w:type="spellStart"/>
      <w:r w:rsidRPr="00884687">
        <w:rPr>
          <w:rFonts w:ascii="Verdana" w:eastAsia="Times New Roman" w:hAnsi="Verdana" w:cs="Times New Roman"/>
          <w:color w:val="333333"/>
          <w:sz w:val="17"/>
          <w:szCs w:val="17"/>
          <w:lang w:eastAsia="en-PH"/>
        </w:rPr>
        <w:t>Vitug</w:t>
      </w:r>
      <w:proofErr w:type="spellEnd"/>
      <w:r w:rsidRPr="00884687">
        <w:rPr>
          <w:rFonts w:ascii="Verdana" w:eastAsia="Times New Roman" w:hAnsi="Verdana" w:cs="Times New Roman"/>
          <w:color w:val="333333"/>
          <w:sz w:val="17"/>
          <w:szCs w:val="17"/>
          <w:lang w:eastAsia="en-PH"/>
        </w:rPr>
        <w:t xml:space="preserve"> and Ernesto D. Acosta, Tax Law and Jurisprudence 44 (2nd ed., 2000) (hereafter </w:t>
      </w:r>
      <w:proofErr w:type="spellStart"/>
      <w:r w:rsidRPr="00884687">
        <w:rPr>
          <w:rFonts w:ascii="Verdana" w:eastAsia="Times New Roman" w:hAnsi="Verdana" w:cs="Times New Roman"/>
          <w:color w:val="333333"/>
          <w:sz w:val="17"/>
          <w:szCs w:val="17"/>
          <w:lang w:eastAsia="en-PH"/>
        </w:rPr>
        <w:t>Vitug</w:t>
      </w:r>
      <w:proofErr w:type="spellEnd"/>
      <w:r w:rsidRPr="00884687">
        <w:rPr>
          <w:rFonts w:ascii="Verdana" w:eastAsia="Times New Roman" w:hAnsi="Verdana" w:cs="Times New Roman"/>
          <w:color w:val="333333"/>
          <w:sz w:val="17"/>
          <w:szCs w:val="17"/>
          <w:lang w:eastAsia="en-PH"/>
        </w:rPr>
        <w:t>).</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24</w:t>
      </w:r>
      <w:r w:rsidRPr="00884687">
        <w:rPr>
          <w:rFonts w:ascii="Verdana" w:eastAsia="Times New Roman" w:hAnsi="Verdana" w:cs="Times New Roman"/>
          <w:color w:val="333333"/>
          <w:sz w:val="17"/>
          <w:szCs w:val="17"/>
          <w:lang w:eastAsia="en-PH"/>
        </w:rPr>
        <w:t xml:space="preserve"> De Leon, Fundamentals of Taxation 53 (1988 ed.), citing Batter, Fraud under Federal Tax Law 15 (1953 </w:t>
      </w:r>
      <w:proofErr w:type="gramStart"/>
      <w:r w:rsidRPr="00884687">
        <w:rPr>
          <w:rFonts w:ascii="Verdana" w:eastAsia="Times New Roman" w:hAnsi="Verdana" w:cs="Times New Roman"/>
          <w:color w:val="333333"/>
          <w:sz w:val="17"/>
          <w:szCs w:val="17"/>
          <w:lang w:eastAsia="en-PH"/>
        </w:rPr>
        <w:t>ed</w:t>
      </w:r>
      <w:proofErr w:type="gramEnd"/>
      <w:r w:rsidRPr="00884687">
        <w:rPr>
          <w:rFonts w:ascii="Verdana" w:eastAsia="Times New Roman" w:hAnsi="Verdana" w:cs="Times New Roman"/>
          <w:color w:val="333333"/>
          <w:sz w:val="17"/>
          <w:szCs w:val="17"/>
          <w:lang w:eastAsia="en-PH"/>
        </w:rPr>
        <w:t>.).</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25</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"3," CTA Records, 476.</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26</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"6," CTA Records, 470.</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27</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"1," CTA Records, 461.</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28</w:t>
      </w:r>
      <w:r w:rsidRPr="00884687">
        <w:rPr>
          <w:rFonts w:ascii="Verdana" w:eastAsia="Times New Roman" w:hAnsi="Verdana" w:cs="Times New Roman"/>
          <w:color w:val="333333"/>
          <w:sz w:val="17"/>
          <w:szCs w:val="17"/>
          <w:lang w:eastAsia="en-PH"/>
        </w:rPr>
        <w:t> CTA Records, 466.</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29</w:t>
      </w:r>
      <w:r w:rsidRPr="00884687">
        <w:rPr>
          <w:rFonts w:ascii="Verdana" w:eastAsia="Times New Roman" w:hAnsi="Verdana" w:cs="Times New Roman"/>
          <w:color w:val="333333"/>
          <w:sz w:val="17"/>
          <w:szCs w:val="17"/>
          <w:lang w:eastAsia="en-PH"/>
        </w:rPr>
        <w:t> Respondent's Memorandum, 4-5; Rollo, 78-79.</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30</w:t>
      </w:r>
      <w:r w:rsidRPr="00884687">
        <w:rPr>
          <w:rFonts w:ascii="Verdana" w:eastAsia="Times New Roman" w:hAnsi="Verdana" w:cs="Times New Roman"/>
          <w:color w:val="333333"/>
          <w:sz w:val="17"/>
          <w:szCs w:val="17"/>
          <w:lang w:eastAsia="en-PH"/>
        </w:rPr>
        <w:t> Commissioner of Internal Revenue v. Court of Appeals, 327 Phil. 1, 33 (1996).</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31</w:t>
      </w:r>
      <w:r w:rsidRPr="00884687">
        <w:rPr>
          <w:rFonts w:ascii="Verdana" w:eastAsia="Times New Roman" w:hAnsi="Verdana" w:cs="Times New Roman"/>
          <w:color w:val="333333"/>
          <w:sz w:val="17"/>
          <w:szCs w:val="17"/>
          <w:lang w:eastAsia="en-PH"/>
        </w:rPr>
        <w:t xml:space="preserve"> See Commissioner of Internal Revenue v. Norton Harrison Co., 120 Phil. 684, 691 (1964); Commissioner of Internal Revenue v. </w:t>
      </w:r>
      <w:proofErr w:type="spellStart"/>
      <w:r w:rsidRPr="00884687">
        <w:rPr>
          <w:rFonts w:ascii="Verdana" w:eastAsia="Times New Roman" w:hAnsi="Verdana" w:cs="Times New Roman"/>
          <w:color w:val="333333"/>
          <w:sz w:val="17"/>
          <w:szCs w:val="17"/>
          <w:lang w:eastAsia="en-PH"/>
        </w:rPr>
        <w:t>Rufino</w:t>
      </w:r>
      <w:proofErr w:type="spellEnd"/>
      <w:r w:rsidRPr="00884687">
        <w:rPr>
          <w:rFonts w:ascii="Verdana" w:eastAsia="Times New Roman" w:hAnsi="Verdana" w:cs="Times New Roman"/>
          <w:color w:val="333333"/>
          <w:sz w:val="17"/>
          <w:szCs w:val="17"/>
          <w:lang w:eastAsia="en-PH"/>
        </w:rPr>
        <w:t xml:space="preserve">, G.R. No. </w:t>
      </w:r>
      <w:proofErr w:type="gramStart"/>
      <w:r w:rsidRPr="00884687">
        <w:rPr>
          <w:rFonts w:ascii="Verdana" w:eastAsia="Times New Roman" w:hAnsi="Verdana" w:cs="Times New Roman"/>
          <w:color w:val="333333"/>
          <w:sz w:val="17"/>
          <w:szCs w:val="17"/>
          <w:lang w:eastAsia="en-PH"/>
        </w:rPr>
        <w:t>L-33665-68, 27 February 1987, 148 SCRA 42.</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32</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Vitug</w:t>
      </w:r>
      <w:proofErr w:type="spellEnd"/>
      <w:r w:rsidRPr="00884687">
        <w:rPr>
          <w:rFonts w:ascii="Verdana" w:eastAsia="Times New Roman" w:hAnsi="Verdana" w:cs="Times New Roman"/>
          <w:color w:val="333333"/>
          <w:sz w:val="17"/>
          <w:szCs w:val="17"/>
          <w:lang w:eastAsia="en-PH"/>
        </w:rPr>
        <w:t>, 138.</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33</w:t>
      </w:r>
      <w:r w:rsidRPr="00884687">
        <w:rPr>
          <w:rFonts w:ascii="Verdana" w:eastAsia="Times New Roman" w:hAnsi="Verdana" w:cs="Times New Roman"/>
          <w:color w:val="333333"/>
          <w:sz w:val="17"/>
          <w:szCs w:val="17"/>
          <w:lang w:eastAsia="en-PH"/>
        </w:rPr>
        <w:t> Commissioner v. Court Holding Co., 324 U.S. 334 (1945</w:t>
      </w:r>
      <w:proofErr w:type="gramStart"/>
      <w:r w:rsidRPr="00884687">
        <w:rPr>
          <w:rFonts w:ascii="Verdana" w:eastAsia="Times New Roman" w:hAnsi="Verdana" w:cs="Times New Roman"/>
          <w:color w:val="333333"/>
          <w:sz w:val="17"/>
          <w:szCs w:val="17"/>
          <w:lang w:eastAsia="en-PH"/>
        </w:rPr>
        <w:t>) .</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34</w:t>
      </w:r>
      <w:r w:rsidRPr="00884687">
        <w:rPr>
          <w:rFonts w:ascii="Verdana" w:eastAsia="Times New Roman" w:hAnsi="Verdana" w:cs="Times New Roman"/>
          <w:i/>
          <w:iCs/>
          <w:color w:val="333333"/>
          <w:sz w:val="17"/>
          <w:szCs w:val="17"/>
          <w:lang w:eastAsia="en-PH"/>
        </w:rPr>
        <w:t>See </w:t>
      </w:r>
      <w:r w:rsidRPr="00884687">
        <w:rPr>
          <w:rFonts w:ascii="Verdana" w:eastAsia="Times New Roman" w:hAnsi="Verdana" w:cs="Times New Roman"/>
          <w:color w:val="333333"/>
          <w:sz w:val="17"/>
          <w:szCs w:val="17"/>
          <w:lang w:eastAsia="en-PH"/>
        </w:rPr>
        <w:t xml:space="preserve">Gregory v. </w:t>
      </w:r>
      <w:proofErr w:type="spellStart"/>
      <w:r w:rsidRPr="00884687">
        <w:rPr>
          <w:rFonts w:ascii="Verdana" w:eastAsia="Times New Roman" w:hAnsi="Verdana" w:cs="Times New Roman"/>
          <w:color w:val="333333"/>
          <w:sz w:val="17"/>
          <w:szCs w:val="17"/>
          <w:lang w:eastAsia="en-PH"/>
        </w:rPr>
        <w:t>Helvering</w:t>
      </w:r>
      <w:proofErr w:type="spellEnd"/>
      <w:r w:rsidRPr="00884687">
        <w:rPr>
          <w:rFonts w:ascii="Verdana" w:eastAsia="Times New Roman" w:hAnsi="Verdana" w:cs="Times New Roman"/>
          <w:color w:val="333333"/>
          <w:sz w:val="17"/>
          <w:szCs w:val="17"/>
          <w:lang w:eastAsia="en-PH"/>
        </w:rPr>
        <w:t>, 293 U.S. 465 (1935); Frank Lyon Co. v. United States, 435 U.S. 561 (1978); Commissioner of Internal Revenue v. Court of Appeals, 361 Phil. 103, 126 (1999) </w:t>
      </w:r>
      <w:r w:rsidRPr="00884687">
        <w:rPr>
          <w:rFonts w:ascii="Verdana" w:eastAsia="Times New Roman" w:hAnsi="Verdana" w:cs="Times New Roman"/>
          <w:i/>
          <w:iCs/>
          <w:color w:val="333333"/>
          <w:sz w:val="17"/>
          <w:szCs w:val="17"/>
          <w:lang w:eastAsia="en-PH"/>
        </w:rPr>
        <w:t>citing </w:t>
      </w:r>
      <w:proofErr w:type="spellStart"/>
      <w:r w:rsidRPr="00884687">
        <w:rPr>
          <w:rFonts w:ascii="Verdana" w:eastAsia="Times New Roman" w:hAnsi="Verdana" w:cs="Times New Roman"/>
          <w:color w:val="333333"/>
          <w:sz w:val="17"/>
          <w:szCs w:val="17"/>
          <w:lang w:eastAsia="en-PH"/>
        </w:rPr>
        <w:t>Asmussen</w:t>
      </w:r>
      <w:proofErr w:type="spellEnd"/>
      <w:r w:rsidRPr="00884687">
        <w:rPr>
          <w:rFonts w:ascii="Verdana" w:eastAsia="Times New Roman" w:hAnsi="Verdana" w:cs="Times New Roman"/>
          <w:color w:val="333333"/>
          <w:sz w:val="17"/>
          <w:szCs w:val="17"/>
          <w:lang w:eastAsia="en-PH"/>
        </w:rPr>
        <w:t xml:space="preserve"> v. CIR, 36 B.T.A. (F) 878; </w:t>
      </w:r>
      <w:r w:rsidRPr="00884687">
        <w:rPr>
          <w:rFonts w:ascii="Verdana" w:eastAsia="Times New Roman" w:hAnsi="Verdana" w:cs="Times New Roman"/>
          <w:i/>
          <w:iCs/>
          <w:color w:val="333333"/>
          <w:sz w:val="17"/>
          <w:szCs w:val="17"/>
          <w:lang w:eastAsia="en-PH"/>
        </w:rPr>
        <w:t>See</w:t>
      </w:r>
      <w:r w:rsidRPr="00884687">
        <w:rPr>
          <w:rFonts w:ascii="Verdana" w:eastAsia="Times New Roman" w:hAnsi="Verdana" w:cs="Times New Roman"/>
          <w:color w:val="333333"/>
          <w:sz w:val="17"/>
          <w:szCs w:val="17"/>
          <w:lang w:eastAsia="en-PH"/>
        </w:rPr>
        <w:t xml:space="preserve"> also Neff v. U.S., 301 F2d 330; Cohen v. U.S., 192 F </w:t>
      </w:r>
      <w:proofErr w:type="spellStart"/>
      <w:r w:rsidRPr="00884687">
        <w:rPr>
          <w:rFonts w:ascii="Verdana" w:eastAsia="Times New Roman" w:hAnsi="Verdana" w:cs="Times New Roman"/>
          <w:color w:val="333333"/>
          <w:sz w:val="17"/>
          <w:szCs w:val="17"/>
          <w:lang w:eastAsia="en-PH"/>
        </w:rPr>
        <w:t>Supp</w:t>
      </w:r>
      <w:proofErr w:type="spellEnd"/>
      <w:r w:rsidRPr="00884687">
        <w:rPr>
          <w:rFonts w:ascii="Verdana" w:eastAsia="Times New Roman" w:hAnsi="Verdana" w:cs="Times New Roman"/>
          <w:color w:val="333333"/>
          <w:sz w:val="17"/>
          <w:szCs w:val="17"/>
          <w:lang w:eastAsia="en-PH"/>
        </w:rPr>
        <w:t xml:space="preserve"> 216; Herman v. Comm., 283 F2d 227; </w:t>
      </w:r>
      <w:proofErr w:type="spellStart"/>
      <w:r w:rsidRPr="00884687">
        <w:rPr>
          <w:rFonts w:ascii="Verdana" w:eastAsia="Times New Roman" w:hAnsi="Verdana" w:cs="Times New Roman"/>
          <w:color w:val="333333"/>
          <w:sz w:val="17"/>
          <w:szCs w:val="17"/>
          <w:lang w:eastAsia="en-PH"/>
        </w:rPr>
        <w:t>Kessner</w:t>
      </w:r>
      <w:proofErr w:type="spellEnd"/>
      <w:r w:rsidRPr="00884687">
        <w:rPr>
          <w:rFonts w:ascii="Verdana" w:eastAsia="Times New Roman" w:hAnsi="Verdana" w:cs="Times New Roman"/>
          <w:color w:val="333333"/>
          <w:sz w:val="17"/>
          <w:szCs w:val="17"/>
          <w:lang w:eastAsia="en-PH"/>
        </w:rPr>
        <w:t xml:space="preserve"> v. Comm., 248 F2d 943; Comm. V. Pope, 239 F2d 881; U.S. v. </w:t>
      </w:r>
      <w:proofErr w:type="spellStart"/>
      <w:r w:rsidRPr="00884687">
        <w:rPr>
          <w:rFonts w:ascii="Verdana" w:eastAsia="Times New Roman" w:hAnsi="Verdana" w:cs="Times New Roman"/>
          <w:color w:val="333333"/>
          <w:sz w:val="17"/>
          <w:szCs w:val="17"/>
          <w:lang w:eastAsia="en-PH"/>
        </w:rPr>
        <w:t>Fewel</w:t>
      </w:r>
      <w:proofErr w:type="spellEnd"/>
      <w:r w:rsidRPr="00884687">
        <w:rPr>
          <w:rFonts w:ascii="Verdana" w:eastAsia="Times New Roman" w:hAnsi="Verdana" w:cs="Times New Roman"/>
          <w:color w:val="333333"/>
          <w:sz w:val="17"/>
          <w:szCs w:val="17"/>
          <w:lang w:eastAsia="en-PH"/>
        </w:rPr>
        <w:t>, 255 F2d 396.</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35</w:t>
      </w:r>
      <w:r w:rsidRPr="00884687">
        <w:rPr>
          <w:rFonts w:ascii="Verdana" w:eastAsia="Times New Roman" w:hAnsi="Verdana" w:cs="Times New Roman"/>
          <w:color w:val="333333"/>
          <w:sz w:val="17"/>
          <w:szCs w:val="17"/>
          <w:lang w:eastAsia="en-PH"/>
        </w:rPr>
        <w:t> Sec. 34.</w:t>
      </w:r>
      <w:proofErr w:type="gramEnd"/>
      <w:r w:rsidRPr="00884687">
        <w:rPr>
          <w:rFonts w:ascii="Verdana" w:eastAsia="Times New Roman" w:hAnsi="Verdana" w:cs="Times New Roman"/>
          <w:color w:val="333333"/>
          <w:sz w:val="17"/>
          <w:szCs w:val="17"/>
          <w:lang w:eastAsia="en-PH"/>
        </w:rPr>
        <w:t xml:space="preserve"> Capital gains and loses.</w:t>
      </w:r>
    </w:p>
    <w:p w:rsidR="00884687" w:rsidRPr="00884687" w:rsidRDefault="00884687" w:rsidP="00884687">
      <w:pPr>
        <w:shd w:val="clear" w:color="auto" w:fill="FFFFFF"/>
        <w:spacing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 . .</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lang w:eastAsia="en-PH"/>
        </w:rPr>
        <w:t>(h) The provisions of paragraph (b) of this section to the contrary notwithstanding, sales, exchanges or other dispositions of real property classified as capital assets, including </w:t>
      </w:r>
      <w:proofErr w:type="spellStart"/>
      <w:r w:rsidRPr="00884687">
        <w:rPr>
          <w:rFonts w:ascii="Verdana" w:eastAsia="Times New Roman" w:hAnsi="Verdana" w:cs="Times New Roman"/>
          <w:i/>
          <w:iCs/>
          <w:color w:val="333333"/>
          <w:sz w:val="17"/>
          <w:szCs w:val="17"/>
          <w:lang w:eastAsia="en-PH"/>
        </w:rPr>
        <w:t>pacto</w:t>
      </w:r>
      <w:proofErr w:type="spellEnd"/>
      <w:r w:rsidRPr="00884687">
        <w:rPr>
          <w:rFonts w:ascii="Verdana" w:eastAsia="Times New Roman" w:hAnsi="Verdana" w:cs="Times New Roman"/>
          <w:i/>
          <w:iCs/>
          <w:color w:val="333333"/>
          <w:sz w:val="17"/>
          <w:szCs w:val="17"/>
          <w:lang w:eastAsia="en-PH"/>
        </w:rPr>
        <w:t>-de-retro</w:t>
      </w:r>
      <w:r w:rsidRPr="00884687">
        <w:rPr>
          <w:rFonts w:ascii="Verdana" w:eastAsia="Times New Roman" w:hAnsi="Verdana" w:cs="Times New Roman"/>
          <w:color w:val="333333"/>
          <w:sz w:val="17"/>
          <w:szCs w:val="17"/>
          <w:lang w:eastAsia="en-PH"/>
        </w:rPr>
        <w:t> sales and other forms of conditional sale, by individuals, including estates and trusts, shall be taxed at the rate of 5% based on the gross selling price or the fair market value prevailing at the time of sale, whichever is higher.</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36</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"A," CTA Records, 296.</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proofErr w:type="gramStart"/>
      <w:r w:rsidRPr="00884687">
        <w:rPr>
          <w:rFonts w:ascii="Verdana" w:eastAsia="Times New Roman" w:hAnsi="Verdana" w:cs="Times New Roman"/>
          <w:color w:val="333333"/>
          <w:sz w:val="17"/>
          <w:szCs w:val="17"/>
          <w:vertAlign w:val="superscript"/>
          <w:lang w:eastAsia="en-PH"/>
        </w:rPr>
        <w:t>37</w:t>
      </w:r>
      <w:r w:rsidRPr="00884687">
        <w:rPr>
          <w:rFonts w:ascii="Verdana" w:eastAsia="Times New Roman" w:hAnsi="Verdana" w:cs="Times New Roman"/>
          <w:color w:val="333333"/>
          <w:sz w:val="17"/>
          <w:szCs w:val="17"/>
          <w:lang w:eastAsia="en-PH"/>
        </w:rPr>
        <w:t> </w:t>
      </w:r>
      <w:proofErr w:type="spellStart"/>
      <w:r w:rsidRPr="00884687">
        <w:rPr>
          <w:rFonts w:ascii="Verdana" w:eastAsia="Times New Roman" w:hAnsi="Verdana" w:cs="Times New Roman"/>
          <w:color w:val="333333"/>
          <w:sz w:val="17"/>
          <w:szCs w:val="17"/>
          <w:lang w:eastAsia="en-PH"/>
        </w:rPr>
        <w:t>Exh</w:t>
      </w:r>
      <w:proofErr w:type="spellEnd"/>
      <w:r w:rsidRPr="00884687">
        <w:rPr>
          <w:rFonts w:ascii="Verdana" w:eastAsia="Times New Roman" w:hAnsi="Verdana" w:cs="Times New Roman"/>
          <w:color w:val="333333"/>
          <w:sz w:val="17"/>
          <w:szCs w:val="17"/>
          <w:lang w:eastAsia="en-PH"/>
        </w:rPr>
        <w:t>.</w:t>
      </w:r>
      <w:proofErr w:type="gramEnd"/>
      <w:r w:rsidRPr="00884687">
        <w:rPr>
          <w:rFonts w:ascii="Verdana" w:eastAsia="Times New Roman" w:hAnsi="Verdana" w:cs="Times New Roman"/>
          <w:color w:val="333333"/>
          <w:sz w:val="17"/>
          <w:szCs w:val="17"/>
          <w:lang w:eastAsia="en-PH"/>
        </w:rPr>
        <w:t xml:space="preserve"> </w:t>
      </w:r>
      <w:proofErr w:type="gramStart"/>
      <w:r w:rsidRPr="00884687">
        <w:rPr>
          <w:rFonts w:ascii="Verdana" w:eastAsia="Times New Roman" w:hAnsi="Verdana" w:cs="Times New Roman"/>
          <w:color w:val="333333"/>
          <w:sz w:val="17"/>
          <w:szCs w:val="17"/>
          <w:lang w:eastAsia="en-PH"/>
        </w:rPr>
        <w:t>"2," CTA Records, 464.</w:t>
      </w:r>
      <w:proofErr w:type="gramEnd"/>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38</w:t>
      </w:r>
      <w:r w:rsidRPr="00884687">
        <w:rPr>
          <w:rFonts w:ascii="Verdana" w:eastAsia="Times New Roman" w:hAnsi="Verdana" w:cs="Times New Roman"/>
          <w:color w:val="333333"/>
          <w:sz w:val="17"/>
          <w:szCs w:val="17"/>
          <w:lang w:eastAsia="en-PH"/>
        </w:rPr>
        <w:t> Atrium Management Corporation v. Court of Appeals, G.R. NOS. 109491 and 121794, 28 February 2001, 353 SCRA 23, 31, </w:t>
      </w:r>
      <w:r w:rsidRPr="00884687">
        <w:rPr>
          <w:rFonts w:ascii="Verdana" w:eastAsia="Times New Roman" w:hAnsi="Verdana" w:cs="Times New Roman"/>
          <w:i/>
          <w:iCs/>
          <w:color w:val="333333"/>
          <w:sz w:val="17"/>
          <w:szCs w:val="17"/>
          <w:lang w:eastAsia="en-PH"/>
        </w:rPr>
        <w:t>citing </w:t>
      </w:r>
      <w:r w:rsidRPr="00884687">
        <w:rPr>
          <w:rFonts w:ascii="Verdana" w:eastAsia="Times New Roman" w:hAnsi="Verdana" w:cs="Times New Roman"/>
          <w:color w:val="333333"/>
          <w:sz w:val="17"/>
          <w:szCs w:val="17"/>
          <w:lang w:eastAsia="en-PH"/>
        </w:rPr>
        <w:t>FCY Construction Group Inc. v. Court of Appeals, G.R. No. 123358, 1 February 2000, 324 SCRA 270.</w:t>
      </w:r>
    </w:p>
    <w:p w:rsidR="00884687" w:rsidRPr="00884687" w:rsidRDefault="00884687" w:rsidP="0088468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884687">
        <w:rPr>
          <w:rFonts w:ascii="Verdana" w:eastAsia="Times New Roman" w:hAnsi="Verdana" w:cs="Times New Roman"/>
          <w:color w:val="333333"/>
          <w:sz w:val="17"/>
          <w:szCs w:val="17"/>
          <w:vertAlign w:val="superscript"/>
          <w:lang w:eastAsia="en-PH"/>
        </w:rPr>
        <w:t>39</w:t>
      </w:r>
      <w:r w:rsidRPr="00884687">
        <w:rPr>
          <w:rFonts w:ascii="Verdana" w:eastAsia="Times New Roman" w:hAnsi="Verdana" w:cs="Times New Roman"/>
          <w:color w:val="333333"/>
          <w:sz w:val="17"/>
          <w:szCs w:val="17"/>
          <w:lang w:eastAsia="en-PH"/>
        </w:rPr>
        <w:t> CTA Records, 200-201.</w:t>
      </w:r>
    </w:p>
    <w:p w:rsidR="0018460D" w:rsidRDefault="00BD6846"/>
    <w:sectPr w:rsidR="00184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687"/>
    <w:rsid w:val="00182455"/>
    <w:rsid w:val="00833256"/>
    <w:rsid w:val="00884687"/>
    <w:rsid w:val="00BD684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46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84687"/>
    <w:rPr>
      <w:b/>
      <w:bCs/>
    </w:rPr>
  </w:style>
  <w:style w:type="character" w:styleId="Emphasis">
    <w:name w:val="Emphasis"/>
    <w:basedOn w:val="DefaultParagraphFont"/>
    <w:uiPriority w:val="20"/>
    <w:qFormat/>
    <w:rsid w:val="0088468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46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84687"/>
    <w:rPr>
      <w:b/>
      <w:bCs/>
    </w:rPr>
  </w:style>
  <w:style w:type="character" w:styleId="Emphasis">
    <w:name w:val="Emphasis"/>
    <w:basedOn w:val="DefaultParagraphFont"/>
    <w:uiPriority w:val="20"/>
    <w:qFormat/>
    <w:rsid w:val="0088468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262582">
      <w:bodyDiv w:val="1"/>
      <w:marLeft w:val="0"/>
      <w:marRight w:val="0"/>
      <w:marTop w:val="0"/>
      <w:marBottom w:val="0"/>
      <w:divBdr>
        <w:top w:val="none" w:sz="0" w:space="0" w:color="auto"/>
        <w:left w:val="none" w:sz="0" w:space="0" w:color="auto"/>
        <w:bottom w:val="none" w:sz="0" w:space="0" w:color="auto"/>
        <w:right w:val="none" w:sz="0" w:space="0" w:color="auto"/>
      </w:divBdr>
      <w:divsChild>
        <w:div w:id="1625953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635486">
              <w:blockQuote w:val="1"/>
              <w:marLeft w:val="720"/>
              <w:marRight w:val="720"/>
              <w:marTop w:val="100"/>
              <w:marBottom w:val="100"/>
              <w:divBdr>
                <w:top w:val="none" w:sz="0" w:space="0" w:color="auto"/>
                <w:left w:val="none" w:sz="0" w:space="0" w:color="auto"/>
                <w:bottom w:val="none" w:sz="0" w:space="0" w:color="auto"/>
                <w:right w:val="none" w:sz="0" w:space="0" w:color="auto"/>
              </w:divBdr>
            </w:div>
            <w:div w:id="602806110">
              <w:blockQuote w:val="1"/>
              <w:marLeft w:val="720"/>
              <w:marRight w:val="720"/>
              <w:marTop w:val="100"/>
              <w:marBottom w:val="100"/>
              <w:divBdr>
                <w:top w:val="none" w:sz="0" w:space="0" w:color="auto"/>
                <w:left w:val="none" w:sz="0" w:space="0" w:color="auto"/>
                <w:bottom w:val="none" w:sz="0" w:space="0" w:color="auto"/>
                <w:right w:val="none" w:sz="0" w:space="0" w:color="auto"/>
              </w:divBdr>
            </w:div>
            <w:div w:id="1048850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37541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23765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982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441026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034086">
          <w:blockQuote w:val="1"/>
          <w:marLeft w:val="720"/>
          <w:marRight w:val="720"/>
          <w:marTop w:val="100"/>
          <w:marBottom w:val="100"/>
          <w:divBdr>
            <w:top w:val="none" w:sz="0" w:space="0" w:color="auto"/>
            <w:left w:val="none" w:sz="0" w:space="0" w:color="auto"/>
            <w:bottom w:val="none" w:sz="0" w:space="0" w:color="auto"/>
            <w:right w:val="none" w:sz="0" w:space="0" w:color="auto"/>
          </w:divBdr>
        </w:div>
        <w:div w:id="737827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35074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5593272">
          <w:blockQuote w:val="1"/>
          <w:marLeft w:val="720"/>
          <w:marRight w:val="720"/>
          <w:marTop w:val="100"/>
          <w:marBottom w:val="100"/>
          <w:divBdr>
            <w:top w:val="none" w:sz="0" w:space="0" w:color="auto"/>
            <w:left w:val="none" w:sz="0" w:space="0" w:color="auto"/>
            <w:bottom w:val="none" w:sz="0" w:space="0" w:color="auto"/>
            <w:right w:val="none" w:sz="0" w:space="0" w:color="auto"/>
          </w:divBdr>
        </w:div>
        <w:div w:id="37080423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6243083">
          <w:blockQuote w:val="1"/>
          <w:marLeft w:val="720"/>
          <w:marRight w:val="720"/>
          <w:marTop w:val="100"/>
          <w:marBottom w:val="100"/>
          <w:divBdr>
            <w:top w:val="none" w:sz="0" w:space="0" w:color="auto"/>
            <w:left w:val="none" w:sz="0" w:space="0" w:color="auto"/>
            <w:bottom w:val="none" w:sz="0" w:space="0" w:color="auto"/>
            <w:right w:val="none" w:sz="0" w:space="0" w:color="auto"/>
          </w:divBdr>
        </w:div>
        <w:div w:id="556018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4034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Pages>
  <Words>3897</Words>
  <Characters>22216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2019-08-04T23:05:00Z</dcterms:created>
  <dcterms:modified xsi:type="dcterms:W3CDTF">2019-08-04T23:22:00Z</dcterms:modified>
</cp:coreProperties>
</file>