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E67" w:rsidRPr="00374E67" w:rsidRDefault="00374E67" w:rsidP="00374E67">
      <w:pPr>
        <w:spacing w:after="0" w:line="240" w:lineRule="auto"/>
        <w:rPr>
          <w:rFonts w:ascii="Times New Roman" w:eastAsia="Times New Roman" w:hAnsi="Times New Roman" w:cs="Times New Roman"/>
          <w:sz w:val="24"/>
          <w:szCs w:val="24"/>
          <w:lang w:eastAsia="en-PH"/>
        </w:rPr>
      </w:pPr>
      <w:r w:rsidRPr="00374E67">
        <w:rPr>
          <w:rFonts w:ascii="Verdana" w:eastAsia="Times New Roman" w:hAnsi="Verdana" w:cs="Times New Roman"/>
          <w:color w:val="000000"/>
          <w:lang w:eastAsia="en-PH"/>
        </w:rPr>
        <w:t>420 Phil. 824 </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p>
    <w:p w:rsidR="00374E67" w:rsidRPr="00374E67" w:rsidRDefault="00374E67" w:rsidP="00374E67">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374E67">
        <w:rPr>
          <w:rFonts w:ascii="Verdana" w:eastAsia="Times New Roman" w:hAnsi="Verdana" w:cs="Times New Roman"/>
          <w:b/>
          <w:bCs/>
          <w:color w:val="000000"/>
          <w:sz w:val="36"/>
          <w:szCs w:val="36"/>
          <w:lang w:eastAsia="en-PH"/>
        </w:rPr>
        <w:t>SECOND DIVISION</w:t>
      </w:r>
    </w:p>
    <w:p w:rsidR="00374E67" w:rsidRPr="00374E67" w:rsidRDefault="00374E67" w:rsidP="00374E6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374E67">
        <w:rPr>
          <w:rFonts w:ascii="Verdana" w:eastAsia="Times New Roman" w:hAnsi="Verdana" w:cs="Times New Roman"/>
          <w:b/>
          <w:bCs/>
          <w:color w:val="000000"/>
          <w:sz w:val="36"/>
          <w:szCs w:val="36"/>
          <w:lang w:eastAsia="en-PH"/>
        </w:rPr>
        <w:t>[ G.R</w:t>
      </w:r>
      <w:proofErr w:type="gramEnd"/>
      <w:r w:rsidRPr="00374E67">
        <w:rPr>
          <w:rFonts w:ascii="Verdana" w:eastAsia="Times New Roman" w:hAnsi="Verdana" w:cs="Times New Roman"/>
          <w:b/>
          <w:bCs/>
          <w:color w:val="000000"/>
          <w:sz w:val="36"/>
          <w:szCs w:val="36"/>
          <w:lang w:eastAsia="en-PH"/>
        </w:rPr>
        <w:t>. No. 127897, November 15, 2001 ]</w:t>
      </w:r>
    </w:p>
    <w:p w:rsidR="00374E67" w:rsidRPr="00374E67" w:rsidRDefault="00374E67" w:rsidP="00374E67">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374E67">
        <w:rPr>
          <w:rFonts w:ascii="Verdana" w:eastAsia="Times New Roman" w:hAnsi="Verdana" w:cs="Times New Roman"/>
          <w:b/>
          <w:bCs/>
          <w:color w:val="000000"/>
          <w:sz w:val="27"/>
          <w:szCs w:val="27"/>
          <w:lang w:eastAsia="en-PH"/>
        </w:rPr>
        <w:t xml:space="preserve">DELSAN TRANSPORT LINES, INC., PETITIONER, VS. </w:t>
      </w:r>
      <w:proofErr w:type="gramStart"/>
      <w:r w:rsidRPr="00374E67">
        <w:rPr>
          <w:rFonts w:ascii="Verdana" w:eastAsia="Times New Roman" w:hAnsi="Verdana" w:cs="Times New Roman"/>
          <w:b/>
          <w:bCs/>
          <w:color w:val="000000"/>
          <w:sz w:val="27"/>
          <w:szCs w:val="27"/>
          <w:lang w:eastAsia="en-PH"/>
        </w:rPr>
        <w:t>THE HON. COURT OF APPEALS AND AMERICAN HOME ASSURANCE CORPORATION, RESPONDENTS.</w:t>
      </w:r>
      <w:proofErr w:type="gramEnd"/>
      <w:r w:rsidRPr="00374E67">
        <w:rPr>
          <w:rFonts w:ascii="Verdana" w:eastAsia="Times New Roman" w:hAnsi="Verdana" w:cs="Times New Roman"/>
          <w:b/>
          <w:bCs/>
          <w:color w:val="000000"/>
          <w:sz w:val="27"/>
          <w:szCs w:val="27"/>
          <w:lang w:eastAsia="en-PH"/>
        </w:rPr>
        <w:br/>
      </w:r>
      <w:r w:rsidRPr="00374E67">
        <w:rPr>
          <w:rFonts w:ascii="Verdana" w:eastAsia="Times New Roman" w:hAnsi="Verdana" w:cs="Times New Roman"/>
          <w:b/>
          <w:bCs/>
          <w:color w:val="000000"/>
          <w:sz w:val="27"/>
          <w:szCs w:val="27"/>
          <w:lang w:eastAsia="en-PH"/>
        </w:rPr>
        <w:br/>
        <w:t>D E C I S I O N</w:t>
      </w:r>
    </w:p>
    <w:p w:rsidR="00374E67" w:rsidRPr="00374E67" w:rsidRDefault="00374E67" w:rsidP="00374E67">
      <w:pPr>
        <w:spacing w:before="100" w:beforeAutospacing="1" w:after="100" w:afterAutospacing="1" w:line="240" w:lineRule="auto"/>
        <w:rPr>
          <w:rFonts w:ascii="Verdana" w:eastAsia="Times New Roman" w:hAnsi="Verdana" w:cs="Times New Roman"/>
          <w:color w:val="000000"/>
          <w:lang w:eastAsia="en-PH"/>
        </w:rPr>
      </w:pPr>
      <w:r w:rsidRPr="00374E67">
        <w:rPr>
          <w:rFonts w:ascii="Verdana" w:eastAsia="Times New Roman" w:hAnsi="Verdana" w:cs="Times New Roman"/>
          <w:b/>
          <w:bCs/>
          <w:color w:val="000000"/>
          <w:lang w:eastAsia="en-PH"/>
        </w:rPr>
        <w:t>DE LEON, JR., J.:</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Before us is a petition for review on certiorari of the Decision</w:t>
      </w:r>
      <w:r w:rsidRPr="00374E67">
        <w:rPr>
          <w:rFonts w:ascii="Verdana" w:eastAsia="Times New Roman" w:hAnsi="Verdana" w:cs="Times New Roman"/>
          <w:color w:val="FF0000"/>
          <w:vertAlign w:val="superscript"/>
          <w:lang w:eastAsia="en-PH"/>
        </w:rPr>
        <w:t>[1]</w:t>
      </w:r>
      <w:r w:rsidRPr="00374E67">
        <w:rPr>
          <w:rFonts w:ascii="Verdana" w:eastAsia="Times New Roman" w:hAnsi="Verdana" w:cs="Times New Roman"/>
          <w:color w:val="000000"/>
          <w:lang w:eastAsia="en-PH"/>
        </w:rPr>
        <w:t> of the Court of Appeals in CA-G.R. CV No. 39836 promulgated on June 17, 1996, reversing the decision of the Regional Trial Court of Makati City, Branch 137, ordering petitioner to pay private respondent the sum of Five Million Ninety-Six Thousand Six Hundred Thirty-Five Pesos and Fifty-Seven Centavos (P5,096,635.57) and costs and the Resolution</w:t>
      </w:r>
      <w:r w:rsidRPr="00374E67">
        <w:rPr>
          <w:rFonts w:ascii="Verdana" w:eastAsia="Times New Roman" w:hAnsi="Verdana" w:cs="Times New Roman"/>
          <w:color w:val="FF0000"/>
          <w:vertAlign w:val="superscript"/>
          <w:lang w:eastAsia="en-PH"/>
        </w:rPr>
        <w:t>[2]</w:t>
      </w:r>
      <w:r w:rsidRPr="00374E67">
        <w:rPr>
          <w:rFonts w:ascii="Verdana" w:eastAsia="Times New Roman" w:hAnsi="Verdana" w:cs="Times New Roman"/>
          <w:color w:val="000000"/>
          <w:lang w:eastAsia="en-PH"/>
        </w:rPr>
        <w:t> dated January 21, 1997 which denied the subsequent motion for reconsideration.</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The facts show that Caltex Philippines (Caltex for brevity) entered into a contract of </w:t>
      </w:r>
      <w:proofErr w:type="spellStart"/>
      <w:r w:rsidRPr="00374E67">
        <w:rPr>
          <w:rFonts w:ascii="Verdana" w:eastAsia="Times New Roman" w:hAnsi="Verdana" w:cs="Times New Roman"/>
          <w:color w:val="000000"/>
          <w:lang w:eastAsia="en-PH"/>
        </w:rPr>
        <w:t>affreightment</w:t>
      </w:r>
      <w:proofErr w:type="spellEnd"/>
      <w:r w:rsidRPr="00374E67">
        <w:rPr>
          <w:rFonts w:ascii="Verdana" w:eastAsia="Times New Roman" w:hAnsi="Verdana" w:cs="Times New Roman"/>
          <w:color w:val="000000"/>
          <w:lang w:eastAsia="en-PH"/>
        </w:rPr>
        <w:t xml:space="preserve"> with the petitioner, </w:t>
      </w:r>
      <w:proofErr w:type="spellStart"/>
      <w:r w:rsidRPr="00374E67">
        <w:rPr>
          <w:rFonts w:ascii="Verdana" w:eastAsia="Times New Roman" w:hAnsi="Verdana" w:cs="Times New Roman"/>
          <w:color w:val="000000"/>
          <w:lang w:eastAsia="en-PH"/>
        </w:rPr>
        <w:t>Delsan</w:t>
      </w:r>
      <w:proofErr w:type="spellEnd"/>
      <w:r w:rsidRPr="00374E67">
        <w:rPr>
          <w:rFonts w:ascii="Verdana" w:eastAsia="Times New Roman" w:hAnsi="Verdana" w:cs="Times New Roman"/>
          <w:color w:val="000000"/>
          <w:lang w:eastAsia="en-PH"/>
        </w:rPr>
        <w:t xml:space="preserve"> Transport Lines, Inc., for a period of one year whereby the said common carrier agreed to transport Caltex's industrial fuel oil from the </w:t>
      </w:r>
      <w:proofErr w:type="spellStart"/>
      <w:r w:rsidRPr="00374E67">
        <w:rPr>
          <w:rFonts w:ascii="Verdana" w:eastAsia="Times New Roman" w:hAnsi="Verdana" w:cs="Times New Roman"/>
          <w:color w:val="000000"/>
          <w:lang w:eastAsia="en-PH"/>
        </w:rPr>
        <w:t>Batangas</w:t>
      </w:r>
      <w:proofErr w:type="spellEnd"/>
      <w:r w:rsidRPr="00374E67">
        <w:rPr>
          <w:rFonts w:ascii="Verdana" w:eastAsia="Times New Roman" w:hAnsi="Verdana" w:cs="Times New Roman"/>
          <w:color w:val="000000"/>
          <w:lang w:eastAsia="en-PH"/>
        </w:rPr>
        <w:t xml:space="preserve">-Bataan Refinery to different parts of the country. Under the contract, petitioner took on board its vessel,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xml:space="preserve">, 2,277.314 </w:t>
      </w:r>
      <w:proofErr w:type="spellStart"/>
      <w:r w:rsidRPr="00374E67">
        <w:rPr>
          <w:rFonts w:ascii="Verdana" w:eastAsia="Times New Roman" w:hAnsi="Verdana" w:cs="Times New Roman"/>
          <w:color w:val="000000"/>
          <w:lang w:eastAsia="en-PH"/>
        </w:rPr>
        <w:t>kiloliters</w:t>
      </w:r>
      <w:proofErr w:type="spellEnd"/>
      <w:r w:rsidRPr="00374E67">
        <w:rPr>
          <w:rFonts w:ascii="Verdana" w:eastAsia="Times New Roman" w:hAnsi="Verdana" w:cs="Times New Roman"/>
          <w:color w:val="000000"/>
          <w:lang w:eastAsia="en-PH"/>
        </w:rPr>
        <w:t xml:space="preserve"> of industrial fuel oil of Caltex to be delivered to the Caltex Oil Terminal in </w:t>
      </w:r>
      <w:proofErr w:type="spellStart"/>
      <w:r w:rsidRPr="00374E67">
        <w:rPr>
          <w:rFonts w:ascii="Verdana" w:eastAsia="Times New Roman" w:hAnsi="Verdana" w:cs="Times New Roman"/>
          <w:color w:val="000000"/>
          <w:lang w:eastAsia="en-PH"/>
        </w:rPr>
        <w:t>Zamboanga</w:t>
      </w:r>
      <w:proofErr w:type="spellEnd"/>
      <w:r w:rsidRPr="00374E67">
        <w:rPr>
          <w:rFonts w:ascii="Verdana" w:eastAsia="Times New Roman" w:hAnsi="Verdana" w:cs="Times New Roman"/>
          <w:color w:val="000000"/>
          <w:lang w:eastAsia="en-PH"/>
        </w:rPr>
        <w:t xml:space="preserve"> City. The shipment was insured with the private respondent, American Home Assurance Corporation.</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On August 14, 1986,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xml:space="preserve"> set sail from </w:t>
      </w:r>
      <w:proofErr w:type="spellStart"/>
      <w:r w:rsidRPr="00374E67">
        <w:rPr>
          <w:rFonts w:ascii="Verdana" w:eastAsia="Times New Roman" w:hAnsi="Verdana" w:cs="Times New Roman"/>
          <w:color w:val="000000"/>
          <w:lang w:eastAsia="en-PH"/>
        </w:rPr>
        <w:t>Batangas</w:t>
      </w:r>
      <w:proofErr w:type="spellEnd"/>
      <w:r w:rsidRPr="00374E67">
        <w:rPr>
          <w:rFonts w:ascii="Verdana" w:eastAsia="Times New Roman" w:hAnsi="Verdana" w:cs="Times New Roman"/>
          <w:color w:val="000000"/>
          <w:lang w:eastAsia="en-PH"/>
        </w:rPr>
        <w:t xml:space="preserve"> for </w:t>
      </w:r>
      <w:proofErr w:type="spellStart"/>
      <w:r w:rsidRPr="00374E67">
        <w:rPr>
          <w:rFonts w:ascii="Verdana" w:eastAsia="Times New Roman" w:hAnsi="Verdana" w:cs="Times New Roman"/>
          <w:color w:val="000000"/>
          <w:lang w:eastAsia="en-PH"/>
        </w:rPr>
        <w:t>Zamboanga</w:t>
      </w:r>
      <w:proofErr w:type="spellEnd"/>
      <w:r w:rsidRPr="00374E67">
        <w:rPr>
          <w:rFonts w:ascii="Verdana" w:eastAsia="Times New Roman" w:hAnsi="Verdana" w:cs="Times New Roman"/>
          <w:color w:val="000000"/>
          <w:lang w:eastAsia="en-PH"/>
        </w:rPr>
        <w:t xml:space="preserve"> City. Unfortunately, the vessel sank in the early morning of August 16, 1986 near Panay Gulf in the </w:t>
      </w:r>
      <w:proofErr w:type="spellStart"/>
      <w:r w:rsidRPr="00374E67">
        <w:rPr>
          <w:rFonts w:ascii="Verdana" w:eastAsia="Times New Roman" w:hAnsi="Verdana" w:cs="Times New Roman"/>
          <w:color w:val="000000"/>
          <w:lang w:eastAsia="en-PH"/>
        </w:rPr>
        <w:t>Visayas</w:t>
      </w:r>
      <w:proofErr w:type="spellEnd"/>
      <w:r w:rsidRPr="00374E67">
        <w:rPr>
          <w:rFonts w:ascii="Verdana" w:eastAsia="Times New Roman" w:hAnsi="Verdana" w:cs="Times New Roman"/>
          <w:color w:val="000000"/>
          <w:lang w:eastAsia="en-PH"/>
        </w:rPr>
        <w:t xml:space="preserve"> taking with it the entire cargo of fuel oil.</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Subsequently, private respondent paid Caltex the sum of Five Million Ninety-Six Thousand Six Hundred Thirty-Five Pesos and Fifty-Seven Centavos (P5,096,635.57) representing the insured value of the lost cargo. Exercising its right of subrogation under Article 2207 of the New Civil Code, the private respondent demanded of the petitioner the same amount it paid to Caltex.</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Due to its failure to collect from the petitioner despite prior demand, private respondent filed a complaint with the Regional Trial Court of Makati City, Branch </w:t>
      </w:r>
      <w:r w:rsidRPr="00374E67">
        <w:rPr>
          <w:rFonts w:ascii="Verdana" w:eastAsia="Times New Roman" w:hAnsi="Verdana" w:cs="Times New Roman"/>
          <w:color w:val="000000"/>
          <w:lang w:eastAsia="en-PH"/>
        </w:rPr>
        <w:lastRenderedPageBreak/>
        <w:t xml:space="preserve">137, for collection of a sum of money. After the trial and upon </w:t>
      </w:r>
      <w:proofErr w:type="spellStart"/>
      <w:r w:rsidRPr="00374E67">
        <w:rPr>
          <w:rFonts w:ascii="Verdana" w:eastAsia="Times New Roman" w:hAnsi="Verdana" w:cs="Times New Roman"/>
          <w:color w:val="000000"/>
          <w:lang w:eastAsia="en-PH"/>
        </w:rPr>
        <w:t>analyzing</w:t>
      </w:r>
      <w:proofErr w:type="spellEnd"/>
      <w:r w:rsidRPr="00374E67">
        <w:rPr>
          <w:rFonts w:ascii="Verdana" w:eastAsia="Times New Roman" w:hAnsi="Verdana" w:cs="Times New Roman"/>
          <w:color w:val="000000"/>
          <w:lang w:eastAsia="en-PH"/>
        </w:rPr>
        <w:t xml:space="preserve"> the evidence adduced, the trial court rendered a decision on November 29, 1990 dismissing the complaint against herein petitioner without pronouncement as to cost. The trial court found that the vessel,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was seaworthy to undertake the voyage as determined by the Philippine Coast Guard per Survey Certificate Report No. M5-016-MH upon inspection during its annual dry-docking and that the incident was caused by unexpected inclement weather condition or </w:t>
      </w:r>
      <w:r w:rsidRPr="00374E67">
        <w:rPr>
          <w:rFonts w:ascii="Verdana" w:eastAsia="Times New Roman" w:hAnsi="Verdana" w:cs="Times New Roman"/>
          <w:i/>
          <w:iCs/>
          <w:color w:val="000000"/>
          <w:lang w:eastAsia="en-PH"/>
        </w:rPr>
        <w:t>force majeure, </w:t>
      </w:r>
      <w:r w:rsidRPr="00374E67">
        <w:rPr>
          <w:rFonts w:ascii="Verdana" w:eastAsia="Times New Roman" w:hAnsi="Verdana" w:cs="Times New Roman"/>
          <w:color w:val="000000"/>
          <w:lang w:eastAsia="en-PH"/>
        </w:rPr>
        <w:t>thus exempting the common carrier (herein petitioner) from liability for the loss of its cargo</w:t>
      </w:r>
      <w:proofErr w:type="gramStart"/>
      <w:r w:rsidRPr="00374E67">
        <w:rPr>
          <w:rFonts w:ascii="Verdana" w:eastAsia="Times New Roman" w:hAnsi="Verdana" w:cs="Times New Roman"/>
          <w:color w:val="000000"/>
          <w:lang w:eastAsia="en-PH"/>
        </w:rPr>
        <w:t>.</w:t>
      </w:r>
      <w:r w:rsidRPr="00374E67">
        <w:rPr>
          <w:rFonts w:ascii="Verdana" w:eastAsia="Times New Roman" w:hAnsi="Verdana" w:cs="Times New Roman"/>
          <w:color w:val="FF0000"/>
          <w:vertAlign w:val="superscript"/>
          <w:lang w:eastAsia="en-PH"/>
        </w:rPr>
        <w:t>[</w:t>
      </w:r>
      <w:proofErr w:type="gramEnd"/>
      <w:r w:rsidRPr="00374E67">
        <w:rPr>
          <w:rFonts w:ascii="Verdana" w:eastAsia="Times New Roman" w:hAnsi="Verdana" w:cs="Times New Roman"/>
          <w:color w:val="FF0000"/>
          <w:vertAlign w:val="superscript"/>
          <w:lang w:eastAsia="en-PH"/>
        </w:rPr>
        <w:t>3]</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The decision of the trial court, however, was reversed, on appeal, by the Court of Appeals. The appellate court gave credence to the weather report issued by the Philippine Atmospheric, Geophysical and Astronomical Services Administration (PAGASA for brevity) which showed that from 2:00 o'clock to 8:00 o'clock in the morning on August 16, 1986, the wind speed remained at 10 to 20 knots per hour while the waves measured from .7 to two (2) meters in height only in the vicinity of the Panay Gulf where the subject vessel sank, in contrast to herein petitioner's allegation that the waves were twenty (20) feet high. In the absence of any explanation as to what may have caused the sinking of the vessel coupled with the finding that the same was improperly manned, the appellate court ruled that the petitioner is liable on its obligation as common carrier</w:t>
      </w:r>
      <w:r w:rsidRPr="00374E67">
        <w:rPr>
          <w:rFonts w:ascii="Verdana" w:eastAsia="Times New Roman" w:hAnsi="Verdana" w:cs="Times New Roman"/>
          <w:color w:val="FF0000"/>
          <w:vertAlign w:val="superscript"/>
          <w:lang w:eastAsia="en-PH"/>
        </w:rPr>
        <w:t>[4]</w:t>
      </w:r>
      <w:r w:rsidRPr="00374E67">
        <w:rPr>
          <w:rFonts w:ascii="Verdana" w:eastAsia="Times New Roman" w:hAnsi="Verdana" w:cs="Times New Roman"/>
          <w:color w:val="000000"/>
          <w:lang w:eastAsia="en-PH"/>
        </w:rPr>
        <w:t xml:space="preserve"> to herein private respondent insurance company as </w:t>
      </w:r>
      <w:proofErr w:type="spellStart"/>
      <w:r w:rsidRPr="00374E67">
        <w:rPr>
          <w:rFonts w:ascii="Verdana" w:eastAsia="Times New Roman" w:hAnsi="Verdana" w:cs="Times New Roman"/>
          <w:color w:val="000000"/>
          <w:lang w:eastAsia="en-PH"/>
        </w:rPr>
        <w:t>subrogee</w:t>
      </w:r>
      <w:proofErr w:type="spellEnd"/>
      <w:r w:rsidRPr="00374E67">
        <w:rPr>
          <w:rFonts w:ascii="Verdana" w:eastAsia="Times New Roman" w:hAnsi="Verdana" w:cs="Times New Roman"/>
          <w:color w:val="000000"/>
          <w:lang w:eastAsia="en-PH"/>
        </w:rPr>
        <w:t xml:space="preserve"> of Caltex. The subsequent motion for reconsideration of herein petitioner was denied by the appellate court.</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Petitioner raised the following assignments of error in support of the instant petition</w:t>
      </w:r>
      <w:proofErr w:type="gramStart"/>
      <w:r w:rsidRPr="00374E67">
        <w:rPr>
          <w:rFonts w:ascii="Verdana" w:eastAsia="Times New Roman" w:hAnsi="Verdana" w:cs="Times New Roman"/>
          <w:color w:val="000000"/>
          <w:lang w:eastAsia="en-PH"/>
        </w:rPr>
        <w:t>,</w:t>
      </w:r>
      <w:r w:rsidRPr="00374E67">
        <w:rPr>
          <w:rFonts w:ascii="Verdana" w:eastAsia="Times New Roman" w:hAnsi="Verdana" w:cs="Times New Roman"/>
          <w:color w:val="FF0000"/>
          <w:vertAlign w:val="superscript"/>
          <w:lang w:eastAsia="en-PH"/>
        </w:rPr>
        <w:t>[</w:t>
      </w:r>
      <w:proofErr w:type="gramEnd"/>
      <w:r w:rsidRPr="00374E67">
        <w:rPr>
          <w:rFonts w:ascii="Verdana" w:eastAsia="Times New Roman" w:hAnsi="Verdana" w:cs="Times New Roman"/>
          <w:color w:val="FF0000"/>
          <w:vertAlign w:val="superscript"/>
          <w:lang w:eastAsia="en-PH"/>
        </w:rPr>
        <w:t>5]</w:t>
      </w:r>
      <w:r w:rsidRPr="00374E67">
        <w:rPr>
          <w:rFonts w:ascii="Verdana" w:eastAsia="Times New Roman" w:hAnsi="Verdana" w:cs="Times New Roman"/>
          <w:color w:val="000000"/>
          <w:lang w:eastAsia="en-PH"/>
        </w:rPr>
        <w:t> to wit:</w:t>
      </w:r>
    </w:p>
    <w:p w:rsidR="00374E67" w:rsidRPr="00374E67" w:rsidRDefault="00374E67" w:rsidP="00374E67">
      <w:pPr>
        <w:spacing w:after="0" w:line="240" w:lineRule="auto"/>
        <w:jc w:val="center"/>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I</w:t>
      </w:r>
    </w:p>
    <w:p w:rsidR="00374E67" w:rsidRPr="00374E67" w:rsidRDefault="00374E67" w:rsidP="00374E67">
      <w:pPr>
        <w:spacing w:after="24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br/>
        <w:t>THE COURT OF APPEALS ERRED IN REVERSING THE DECISION OF THE REGIONAL TRIAL COURT.</w:t>
      </w:r>
    </w:p>
    <w:p w:rsidR="00374E67" w:rsidRPr="00374E67" w:rsidRDefault="00374E67" w:rsidP="00374E67">
      <w:pPr>
        <w:spacing w:after="0" w:line="240" w:lineRule="auto"/>
        <w:jc w:val="center"/>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II</w:t>
      </w:r>
    </w:p>
    <w:p w:rsidR="00374E67" w:rsidRPr="00374E67" w:rsidRDefault="00374E67" w:rsidP="00374E67">
      <w:pPr>
        <w:spacing w:after="24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br/>
        <w:t>THE COURT OF APPEALS ERRED AND WAS NOT JUSTIFIED IN REBUTTING THE LEGAL PRESUMPTION THAT THE VESSEL MT "MAYSUN" WAS SEAWORTHY.</w:t>
      </w:r>
    </w:p>
    <w:p w:rsidR="00374E67" w:rsidRPr="00374E67" w:rsidRDefault="00374E67" w:rsidP="00374E67">
      <w:pPr>
        <w:spacing w:after="0" w:line="240" w:lineRule="auto"/>
        <w:jc w:val="center"/>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III</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br/>
        <w:t>THE COURT OF APPEALS ERRED IN NOT APPLYING THE DOCTRINE OF THE SUPREME COURT IN THE CASE OF HOME INSURANCE CORPORATION V. COURT OF APPEALS.</w:t>
      </w:r>
    </w:p>
    <w:p w:rsidR="00E17614" w:rsidRDefault="00E17614" w:rsidP="00374E67">
      <w:pPr>
        <w:spacing w:after="0" w:line="240" w:lineRule="auto"/>
        <w:rPr>
          <w:rFonts w:ascii="Verdana" w:eastAsia="Times New Roman" w:hAnsi="Verdana" w:cs="Times New Roman"/>
          <w:color w:val="000000"/>
          <w:lang w:eastAsia="en-PH"/>
        </w:rPr>
      </w:pP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 xml:space="preserve">Petitioner </w:t>
      </w:r>
      <w:proofErr w:type="spellStart"/>
      <w:r w:rsidRPr="00374E67">
        <w:rPr>
          <w:rFonts w:ascii="Verdana" w:eastAsia="Times New Roman" w:hAnsi="Verdana" w:cs="Times New Roman"/>
          <w:color w:val="000000"/>
          <w:lang w:eastAsia="en-PH"/>
        </w:rPr>
        <w:t>Delsan</w:t>
      </w:r>
      <w:proofErr w:type="spellEnd"/>
      <w:r w:rsidRPr="00374E67">
        <w:rPr>
          <w:rFonts w:ascii="Verdana" w:eastAsia="Times New Roman" w:hAnsi="Verdana" w:cs="Times New Roman"/>
          <w:color w:val="000000"/>
          <w:lang w:eastAsia="en-PH"/>
        </w:rPr>
        <w:t xml:space="preserve"> Transport Lines, Inc. invokes the provision of Section 113 of the Insurance Code of the Philippines, which states that in every marine insurance upon a ship or freight, or freightage, or upon </w:t>
      </w:r>
      <w:proofErr w:type="spellStart"/>
      <w:r w:rsidRPr="00374E67">
        <w:rPr>
          <w:rFonts w:ascii="Verdana" w:eastAsia="Times New Roman" w:hAnsi="Verdana" w:cs="Times New Roman"/>
          <w:color w:val="000000"/>
          <w:lang w:eastAsia="en-PH"/>
        </w:rPr>
        <w:t>any thing</w:t>
      </w:r>
      <w:proofErr w:type="spellEnd"/>
      <w:r w:rsidRPr="00374E67">
        <w:rPr>
          <w:rFonts w:ascii="Verdana" w:eastAsia="Times New Roman" w:hAnsi="Verdana" w:cs="Times New Roman"/>
          <w:color w:val="000000"/>
          <w:lang w:eastAsia="en-PH"/>
        </w:rPr>
        <w:t xml:space="preserve"> which is the subject of marine insurance there is an implied warranty by the shipper that the ship is seaworthy. Consequently, the insurer will not be liable to the assured for any loss under the policy in case the vessel would later on be found as not seaworthy at the inception </w:t>
      </w:r>
      <w:r w:rsidRPr="00374E67">
        <w:rPr>
          <w:rFonts w:ascii="Verdana" w:eastAsia="Times New Roman" w:hAnsi="Verdana" w:cs="Times New Roman"/>
          <w:color w:val="000000"/>
          <w:lang w:eastAsia="en-PH"/>
        </w:rPr>
        <w:lastRenderedPageBreak/>
        <w:t>of the insurance. It theorized that when private respondent paid Caltex the value of its lost cargo, the act of the private respondent is equivalent to a tacit recognition that the ill-fated vessel was seaworthy; otherwise, private respondent was not legally liable to Caltex due to the latter's breach of implied warranty under the marine insurance policy that the vessel was seaworthy.</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The petitioner also alleges that the Court of Appeals erred in ruling that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xml:space="preserve"> was not seaworthy on the ground that the marine officer who served as the chief mate of the vessel, Francisco </w:t>
      </w:r>
      <w:proofErr w:type="spellStart"/>
      <w:r w:rsidRPr="00374E67">
        <w:rPr>
          <w:rFonts w:ascii="Verdana" w:eastAsia="Times New Roman" w:hAnsi="Verdana" w:cs="Times New Roman"/>
          <w:color w:val="000000"/>
          <w:lang w:eastAsia="en-PH"/>
        </w:rPr>
        <w:t>Berina</w:t>
      </w:r>
      <w:proofErr w:type="spellEnd"/>
      <w:r w:rsidRPr="00374E67">
        <w:rPr>
          <w:rFonts w:ascii="Verdana" w:eastAsia="Times New Roman" w:hAnsi="Verdana" w:cs="Times New Roman"/>
          <w:color w:val="000000"/>
          <w:lang w:eastAsia="en-PH"/>
        </w:rPr>
        <w:t xml:space="preserve">, was allegedly not qualified. Under Section 116 of the Insurance Code of the Philippines, the implied warranty of seaworthiness of the vessel, which the private respondent admitted as having been fulfilled by its payment of the insurance proceeds to Caltex of its lost cargo, extends to the vessel's complement. Besides, petitioner avers that although </w:t>
      </w:r>
      <w:proofErr w:type="spellStart"/>
      <w:r w:rsidRPr="00374E67">
        <w:rPr>
          <w:rFonts w:ascii="Verdana" w:eastAsia="Times New Roman" w:hAnsi="Verdana" w:cs="Times New Roman"/>
          <w:color w:val="000000"/>
          <w:lang w:eastAsia="en-PH"/>
        </w:rPr>
        <w:t>Berina</w:t>
      </w:r>
      <w:proofErr w:type="spellEnd"/>
      <w:r w:rsidRPr="00374E67">
        <w:rPr>
          <w:rFonts w:ascii="Verdana" w:eastAsia="Times New Roman" w:hAnsi="Verdana" w:cs="Times New Roman"/>
          <w:color w:val="000000"/>
          <w:lang w:eastAsia="en-PH"/>
        </w:rPr>
        <w:t xml:space="preserve"> had merely a 2</w:t>
      </w:r>
      <w:r w:rsidRPr="00374E67">
        <w:rPr>
          <w:rFonts w:ascii="Verdana" w:eastAsia="Times New Roman" w:hAnsi="Verdana" w:cs="Times New Roman"/>
          <w:color w:val="000000"/>
          <w:vertAlign w:val="superscript"/>
          <w:lang w:eastAsia="en-PH"/>
        </w:rPr>
        <w:t>nd</w:t>
      </w:r>
      <w:r w:rsidRPr="00374E67">
        <w:rPr>
          <w:rFonts w:ascii="Verdana" w:eastAsia="Times New Roman" w:hAnsi="Verdana" w:cs="Times New Roman"/>
          <w:color w:val="000000"/>
          <w:lang w:eastAsia="en-PH"/>
        </w:rPr>
        <w:t> officer's license, he was qualified to act as the vessel's chief officer under Chapter IV(403), Category III(a)(3)(ii)(</w:t>
      </w:r>
      <w:proofErr w:type="spellStart"/>
      <w:r w:rsidRPr="00374E67">
        <w:rPr>
          <w:rFonts w:ascii="Verdana" w:eastAsia="Times New Roman" w:hAnsi="Verdana" w:cs="Times New Roman"/>
          <w:color w:val="000000"/>
          <w:lang w:eastAsia="en-PH"/>
        </w:rPr>
        <w:t>aa</w:t>
      </w:r>
      <w:proofErr w:type="spellEnd"/>
      <w:r w:rsidRPr="00374E67">
        <w:rPr>
          <w:rFonts w:ascii="Verdana" w:eastAsia="Times New Roman" w:hAnsi="Verdana" w:cs="Times New Roman"/>
          <w:color w:val="000000"/>
          <w:lang w:eastAsia="en-PH"/>
        </w:rPr>
        <w:t xml:space="preserve">) of the Philippine Merchant Marine Rules and Regulations. In fact, all the crew and officers of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xml:space="preserve"> were exonerated in the administrative investigation conducted by the Board of Marine Inquiry after the subject accident</w:t>
      </w:r>
      <w:proofErr w:type="gramStart"/>
      <w:r w:rsidRPr="00374E67">
        <w:rPr>
          <w:rFonts w:ascii="Verdana" w:eastAsia="Times New Roman" w:hAnsi="Verdana" w:cs="Times New Roman"/>
          <w:color w:val="000000"/>
          <w:lang w:eastAsia="en-PH"/>
        </w:rPr>
        <w:t>.</w:t>
      </w:r>
      <w:r w:rsidRPr="00374E67">
        <w:rPr>
          <w:rFonts w:ascii="Verdana" w:eastAsia="Times New Roman" w:hAnsi="Verdana" w:cs="Times New Roman"/>
          <w:color w:val="FF0000"/>
          <w:vertAlign w:val="superscript"/>
          <w:lang w:eastAsia="en-PH"/>
        </w:rPr>
        <w:t>[</w:t>
      </w:r>
      <w:proofErr w:type="gramEnd"/>
      <w:r w:rsidRPr="00374E67">
        <w:rPr>
          <w:rFonts w:ascii="Verdana" w:eastAsia="Times New Roman" w:hAnsi="Verdana" w:cs="Times New Roman"/>
          <w:color w:val="FF0000"/>
          <w:vertAlign w:val="superscript"/>
          <w:lang w:eastAsia="en-PH"/>
        </w:rPr>
        <w:t>6]</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In any event, petitioner further avers that private respondent failed, for unknown reason, to present in evidence during the trial of the instant case the subject marine cargo insurance policy it entered into with Caltex. By virtue of the doctrine laid down in the case of </w:t>
      </w:r>
      <w:r w:rsidRPr="00374E67">
        <w:rPr>
          <w:rFonts w:ascii="Verdana" w:eastAsia="Times New Roman" w:hAnsi="Verdana" w:cs="Times New Roman"/>
          <w:i/>
          <w:iCs/>
          <w:color w:val="000000"/>
          <w:lang w:eastAsia="en-PH"/>
        </w:rPr>
        <w:t>Home Insurance Corporation vs. CA,</w:t>
      </w:r>
      <w:r w:rsidRPr="00374E67">
        <w:rPr>
          <w:rFonts w:ascii="Verdana" w:eastAsia="Times New Roman" w:hAnsi="Verdana" w:cs="Times New Roman"/>
          <w:color w:val="FF0000"/>
          <w:vertAlign w:val="superscript"/>
          <w:lang w:eastAsia="en-PH"/>
        </w:rPr>
        <w:t>[7]</w:t>
      </w:r>
      <w:r w:rsidRPr="00374E67">
        <w:rPr>
          <w:rFonts w:ascii="Verdana" w:eastAsia="Times New Roman" w:hAnsi="Verdana" w:cs="Times New Roman"/>
          <w:color w:val="000000"/>
          <w:lang w:eastAsia="en-PH"/>
        </w:rPr>
        <w:t> the failure of the private respondent to present the insurance policy in evidence is allegedly fatal to its claim inasmuch as there is no way to determine the rights of the parties thereto.</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Hence, the legal issues posed before the Court </w:t>
      </w:r>
      <w:proofErr w:type="gramStart"/>
      <w:r w:rsidRPr="00374E67">
        <w:rPr>
          <w:rFonts w:ascii="Verdana" w:eastAsia="Times New Roman" w:hAnsi="Verdana" w:cs="Times New Roman"/>
          <w:color w:val="000000"/>
          <w:lang w:eastAsia="en-PH"/>
        </w:rPr>
        <w:t>are</w:t>
      </w:r>
      <w:proofErr w:type="gramEnd"/>
      <w:r w:rsidRPr="00374E67">
        <w:rPr>
          <w:rFonts w:ascii="Verdana" w:eastAsia="Times New Roman" w:hAnsi="Verdana" w:cs="Times New Roman"/>
          <w:color w:val="000000"/>
          <w:lang w:eastAsia="en-PH"/>
        </w:rPr>
        <w:t>:</w:t>
      </w:r>
    </w:p>
    <w:p w:rsidR="00374E67" w:rsidRPr="00374E67" w:rsidRDefault="00374E67" w:rsidP="00374E67">
      <w:pPr>
        <w:spacing w:after="0" w:line="240" w:lineRule="auto"/>
        <w:jc w:val="center"/>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I</w:t>
      </w:r>
    </w:p>
    <w:p w:rsidR="00374E67" w:rsidRPr="00374E67" w:rsidRDefault="00374E67" w:rsidP="00374E67">
      <w:pPr>
        <w:spacing w:after="24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br/>
        <w:t>Whether or not the payment made by the private respondent to Caltex for the insured value of the lost cargo amounted to an admission that the vessel was seaworthy, thus precluding any action for recovery against the petitioner.</w:t>
      </w:r>
    </w:p>
    <w:p w:rsidR="00374E67" w:rsidRPr="00374E67" w:rsidRDefault="00374E67" w:rsidP="00374E67">
      <w:pPr>
        <w:spacing w:after="0" w:line="240" w:lineRule="auto"/>
        <w:jc w:val="center"/>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II</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br/>
      </w:r>
      <w:proofErr w:type="gramStart"/>
      <w:r w:rsidRPr="00374E67">
        <w:rPr>
          <w:rFonts w:ascii="Verdana" w:eastAsia="Times New Roman" w:hAnsi="Verdana" w:cs="Times New Roman"/>
          <w:color w:val="000000"/>
          <w:lang w:eastAsia="en-PH"/>
        </w:rPr>
        <w:t>Whether or not the non-presentation of the marine insurance policy bars the complaint for recovery of sum of money for lack of cause of action.</w:t>
      </w:r>
      <w:proofErr w:type="gramEnd"/>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We rule in the negative on both issues.</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The payment made by the private respondent for the insured value of the lost cargo operates as waiver of its (private respondent) right to enforce the term of the implied warranty against Caltex under the marine insurance policy. However, the same cannot be validly interpreted as an automatic admission of the vessel's seaworthiness by the private respondent as to foreclose recourse against the petitioner for any liability under its contractual obligation as a common carrier. The fact of payment grants the private respondent </w:t>
      </w:r>
      <w:proofErr w:type="spellStart"/>
      <w:r w:rsidRPr="00374E67">
        <w:rPr>
          <w:rFonts w:ascii="Verdana" w:eastAsia="Times New Roman" w:hAnsi="Verdana" w:cs="Times New Roman"/>
          <w:color w:val="000000"/>
          <w:lang w:eastAsia="en-PH"/>
        </w:rPr>
        <w:t>subrogatory</w:t>
      </w:r>
      <w:proofErr w:type="spellEnd"/>
      <w:r w:rsidRPr="00374E67">
        <w:rPr>
          <w:rFonts w:ascii="Verdana" w:eastAsia="Times New Roman" w:hAnsi="Verdana" w:cs="Times New Roman"/>
          <w:color w:val="000000"/>
          <w:lang w:eastAsia="en-PH"/>
        </w:rPr>
        <w:t xml:space="preserve"> right which enables it to exercise legal remedies that would otherwise be available to Caltex as owner of the </w:t>
      </w:r>
      <w:r w:rsidRPr="00374E67">
        <w:rPr>
          <w:rFonts w:ascii="Verdana" w:eastAsia="Times New Roman" w:hAnsi="Verdana" w:cs="Times New Roman"/>
          <w:color w:val="000000"/>
          <w:lang w:eastAsia="en-PH"/>
        </w:rPr>
        <w:lastRenderedPageBreak/>
        <w:t>lost cargo against the petitioner common carrier.</w:t>
      </w:r>
      <w:r w:rsidRPr="00374E67">
        <w:rPr>
          <w:rFonts w:ascii="Verdana" w:eastAsia="Times New Roman" w:hAnsi="Verdana" w:cs="Times New Roman"/>
          <w:color w:val="FF0000"/>
          <w:vertAlign w:val="superscript"/>
          <w:lang w:eastAsia="en-PH"/>
        </w:rPr>
        <w:t>[8]</w:t>
      </w:r>
      <w:r w:rsidRPr="00374E67">
        <w:rPr>
          <w:rFonts w:ascii="Verdana" w:eastAsia="Times New Roman" w:hAnsi="Verdana" w:cs="Times New Roman"/>
          <w:color w:val="000000"/>
          <w:lang w:eastAsia="en-PH"/>
        </w:rPr>
        <w:t> Article 2207 of the New Civil Code provides that:</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Art. 2207. If the plaintiff's property has been insured, and he has received indemnity from the insurance company for the injury or loss arising out of the wrong or breach of contract complained of, the insurance company shall be subrogated to the rights of the insured against the wrongdoer or the person who has violated the contract. If the amount paid by the insurance company does not fully cover the injury or loss, the aggrieved party shall be entitled to recover the deficiency from the person causing the loss or injury.</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The right of subrogation has its roots in equity. It is designed to promote and to accomplish justice and is the mode which equity adopts to compel the ultimate payment of a debt by one who in justice and good conscience ought to pay.</w:t>
      </w:r>
      <w:r w:rsidRPr="00374E67">
        <w:rPr>
          <w:rFonts w:ascii="Verdana" w:eastAsia="Times New Roman" w:hAnsi="Verdana" w:cs="Times New Roman"/>
          <w:color w:val="FF0000"/>
          <w:vertAlign w:val="superscript"/>
          <w:lang w:eastAsia="en-PH"/>
        </w:rPr>
        <w:t>[9]</w:t>
      </w:r>
      <w:r w:rsidRPr="00374E67">
        <w:rPr>
          <w:rFonts w:ascii="Verdana" w:eastAsia="Times New Roman" w:hAnsi="Verdana" w:cs="Times New Roman"/>
          <w:color w:val="000000"/>
          <w:lang w:eastAsia="en-PH"/>
        </w:rPr>
        <w:t xml:space="preserve"> It is not dependent upon, nor does it grow out of, any </w:t>
      </w:r>
      <w:proofErr w:type="spellStart"/>
      <w:r w:rsidRPr="00374E67">
        <w:rPr>
          <w:rFonts w:ascii="Verdana" w:eastAsia="Times New Roman" w:hAnsi="Verdana" w:cs="Times New Roman"/>
          <w:color w:val="000000"/>
          <w:lang w:eastAsia="en-PH"/>
        </w:rPr>
        <w:t>privity</w:t>
      </w:r>
      <w:proofErr w:type="spellEnd"/>
      <w:r w:rsidRPr="00374E67">
        <w:rPr>
          <w:rFonts w:ascii="Verdana" w:eastAsia="Times New Roman" w:hAnsi="Verdana" w:cs="Times New Roman"/>
          <w:color w:val="000000"/>
          <w:lang w:eastAsia="en-PH"/>
        </w:rPr>
        <w:t xml:space="preserve"> of contract or upon written assignment of claim. It accrues simply upon payment by the insurance company of the insurance claim</w:t>
      </w:r>
      <w:proofErr w:type="gramStart"/>
      <w:r w:rsidRPr="00374E67">
        <w:rPr>
          <w:rFonts w:ascii="Verdana" w:eastAsia="Times New Roman" w:hAnsi="Verdana" w:cs="Times New Roman"/>
          <w:color w:val="000000"/>
          <w:lang w:eastAsia="en-PH"/>
        </w:rPr>
        <w:t>.</w:t>
      </w:r>
      <w:r w:rsidRPr="00374E67">
        <w:rPr>
          <w:rFonts w:ascii="Verdana" w:eastAsia="Times New Roman" w:hAnsi="Verdana" w:cs="Times New Roman"/>
          <w:color w:val="FF0000"/>
          <w:vertAlign w:val="superscript"/>
          <w:lang w:eastAsia="en-PH"/>
        </w:rPr>
        <w:t>[</w:t>
      </w:r>
      <w:proofErr w:type="gramEnd"/>
      <w:r w:rsidRPr="00374E67">
        <w:rPr>
          <w:rFonts w:ascii="Verdana" w:eastAsia="Times New Roman" w:hAnsi="Verdana" w:cs="Times New Roman"/>
          <w:color w:val="FF0000"/>
          <w:vertAlign w:val="superscript"/>
          <w:lang w:eastAsia="en-PH"/>
        </w:rPr>
        <w:t>10]</w:t>
      </w:r>
      <w:r w:rsidRPr="00374E67">
        <w:rPr>
          <w:rFonts w:ascii="Verdana" w:eastAsia="Times New Roman" w:hAnsi="Verdana" w:cs="Times New Roman"/>
          <w:color w:val="000000"/>
          <w:lang w:eastAsia="en-PH"/>
        </w:rPr>
        <w:t> Consequently, the payment made by the private respondent (insurer) to Caltex (assured) operates as an equitable assignment to the former of all the remedies which the latter may have against the petitioner.</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From the nature of their business and for reasons of public policy, common carriers are bound to observe extraordinary diligence in the vigilance over the goods and for the safety of passengers transported by them, according to all the circumstances of each case.</w:t>
      </w:r>
      <w:r w:rsidRPr="00374E67">
        <w:rPr>
          <w:rFonts w:ascii="Verdana" w:eastAsia="Times New Roman" w:hAnsi="Verdana" w:cs="Times New Roman"/>
          <w:color w:val="FF0000"/>
          <w:vertAlign w:val="superscript"/>
          <w:lang w:eastAsia="en-PH"/>
        </w:rPr>
        <w:t>[11]</w:t>
      </w:r>
      <w:r w:rsidRPr="00374E67">
        <w:rPr>
          <w:rFonts w:ascii="Verdana" w:eastAsia="Times New Roman" w:hAnsi="Verdana" w:cs="Times New Roman"/>
          <w:color w:val="000000"/>
          <w:lang w:eastAsia="en-PH"/>
        </w:rPr>
        <w:t> In the event of loss, destruction or deterioration of the insured goods, common carriers shall be responsible unless the same is brought about, among others, by flood, storm, earthquake, lightning or other natural disaster or calamity.</w:t>
      </w:r>
      <w:r w:rsidRPr="00374E67">
        <w:rPr>
          <w:rFonts w:ascii="Verdana" w:eastAsia="Times New Roman" w:hAnsi="Verdana" w:cs="Times New Roman"/>
          <w:color w:val="FF0000"/>
          <w:vertAlign w:val="superscript"/>
          <w:lang w:eastAsia="en-PH"/>
        </w:rPr>
        <w:t>[12]</w:t>
      </w:r>
      <w:r w:rsidRPr="00374E67">
        <w:rPr>
          <w:rFonts w:ascii="Verdana" w:eastAsia="Times New Roman" w:hAnsi="Verdana" w:cs="Times New Roman"/>
          <w:color w:val="000000"/>
          <w:lang w:eastAsia="en-PH"/>
        </w:rPr>
        <w:t> In all other cases, if the goods are lost, destroyed or deteriorated, common carriers are presumed to have been at fault or to have acted negligently, unless they prove that they observed extraordinary diligence.</w:t>
      </w:r>
      <w:r w:rsidRPr="00374E67">
        <w:rPr>
          <w:rFonts w:ascii="Verdana" w:eastAsia="Times New Roman" w:hAnsi="Verdana" w:cs="Times New Roman"/>
          <w:color w:val="FF0000"/>
          <w:vertAlign w:val="superscript"/>
          <w:lang w:eastAsia="en-PH"/>
        </w:rPr>
        <w:t>[13]</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222B84">
        <w:rPr>
          <w:rFonts w:ascii="Verdana" w:eastAsia="Times New Roman" w:hAnsi="Verdana" w:cs="Times New Roman"/>
          <w:color w:val="000000"/>
          <w:highlight w:val="yellow"/>
          <w:lang w:eastAsia="en-PH"/>
        </w:rPr>
        <w:t xml:space="preserve">In order to escape liability for the loss of its cargo of industrial fuel oil belonging to Caltex, petitioner attributes the sinking of MT </w:t>
      </w:r>
      <w:proofErr w:type="spellStart"/>
      <w:r w:rsidRPr="00222B84">
        <w:rPr>
          <w:rFonts w:ascii="Verdana" w:eastAsia="Times New Roman" w:hAnsi="Verdana" w:cs="Times New Roman"/>
          <w:color w:val="000000"/>
          <w:highlight w:val="yellow"/>
          <w:lang w:eastAsia="en-PH"/>
        </w:rPr>
        <w:t>Maysun</w:t>
      </w:r>
      <w:proofErr w:type="spellEnd"/>
      <w:r w:rsidRPr="00222B84">
        <w:rPr>
          <w:rFonts w:ascii="Verdana" w:eastAsia="Times New Roman" w:hAnsi="Verdana" w:cs="Times New Roman"/>
          <w:color w:val="000000"/>
          <w:highlight w:val="yellow"/>
          <w:lang w:eastAsia="en-PH"/>
        </w:rPr>
        <w:t xml:space="preserve"> to fortuitous event or </w:t>
      </w:r>
      <w:r w:rsidRPr="00222B84">
        <w:rPr>
          <w:rFonts w:ascii="Verdana" w:eastAsia="Times New Roman" w:hAnsi="Verdana" w:cs="Times New Roman"/>
          <w:i/>
          <w:iCs/>
          <w:color w:val="000000"/>
          <w:highlight w:val="yellow"/>
          <w:lang w:eastAsia="en-PH"/>
        </w:rPr>
        <w:t>force majeure</w:t>
      </w:r>
      <w:r w:rsidRPr="00222B84">
        <w:rPr>
          <w:rFonts w:ascii="Verdana" w:eastAsia="Times New Roman" w:hAnsi="Verdana" w:cs="Times New Roman"/>
          <w:color w:val="000000"/>
          <w:highlight w:val="yellow"/>
          <w:lang w:eastAsia="en-PH"/>
        </w:rPr>
        <w:t xml:space="preserve">. From the testimonies of Jaime </w:t>
      </w:r>
      <w:proofErr w:type="spellStart"/>
      <w:r w:rsidRPr="00222B84">
        <w:rPr>
          <w:rFonts w:ascii="Verdana" w:eastAsia="Times New Roman" w:hAnsi="Verdana" w:cs="Times New Roman"/>
          <w:color w:val="000000"/>
          <w:highlight w:val="yellow"/>
          <w:lang w:eastAsia="en-PH"/>
        </w:rPr>
        <w:t>Jarabe</w:t>
      </w:r>
      <w:proofErr w:type="spellEnd"/>
      <w:r w:rsidRPr="00222B84">
        <w:rPr>
          <w:rFonts w:ascii="Verdana" w:eastAsia="Times New Roman" w:hAnsi="Verdana" w:cs="Times New Roman"/>
          <w:color w:val="000000"/>
          <w:highlight w:val="yellow"/>
          <w:lang w:eastAsia="en-PH"/>
        </w:rPr>
        <w:t xml:space="preserve"> and Francisco </w:t>
      </w:r>
      <w:proofErr w:type="spellStart"/>
      <w:r w:rsidRPr="00222B84">
        <w:rPr>
          <w:rFonts w:ascii="Verdana" w:eastAsia="Times New Roman" w:hAnsi="Verdana" w:cs="Times New Roman"/>
          <w:color w:val="000000"/>
          <w:highlight w:val="yellow"/>
          <w:lang w:eastAsia="en-PH"/>
        </w:rPr>
        <w:t>Berina</w:t>
      </w:r>
      <w:proofErr w:type="spellEnd"/>
      <w:r w:rsidRPr="00222B84">
        <w:rPr>
          <w:rFonts w:ascii="Verdana" w:eastAsia="Times New Roman" w:hAnsi="Verdana" w:cs="Times New Roman"/>
          <w:color w:val="000000"/>
          <w:highlight w:val="yellow"/>
          <w:lang w:eastAsia="en-PH"/>
        </w:rPr>
        <w:t>, captain and chief mate, respectively of the ill-fated vessel, it appears that a sudden and unexpected change of weather condition occurred in the early morning of August 16, 1986; that at around 3:15 o'clock in the morning a squall ("</w:t>
      </w:r>
      <w:proofErr w:type="spellStart"/>
      <w:r w:rsidRPr="00222B84">
        <w:rPr>
          <w:rFonts w:ascii="Verdana" w:eastAsia="Times New Roman" w:hAnsi="Verdana" w:cs="Times New Roman"/>
          <w:color w:val="000000"/>
          <w:highlight w:val="yellow"/>
          <w:lang w:eastAsia="en-PH"/>
        </w:rPr>
        <w:t>unos</w:t>
      </w:r>
      <w:proofErr w:type="spellEnd"/>
      <w:r w:rsidRPr="00222B84">
        <w:rPr>
          <w:rFonts w:ascii="Verdana" w:eastAsia="Times New Roman" w:hAnsi="Verdana" w:cs="Times New Roman"/>
          <w:color w:val="000000"/>
          <w:highlight w:val="yellow"/>
          <w:lang w:eastAsia="en-PH"/>
        </w:rPr>
        <w:t xml:space="preserve">") carrying strong winds with an approximate velocity of 30 knots per hour and big waves averaging eighteen (18) to twenty (20) feet high, repeatedly buffeted MT </w:t>
      </w:r>
      <w:proofErr w:type="spellStart"/>
      <w:r w:rsidRPr="00222B84">
        <w:rPr>
          <w:rFonts w:ascii="Verdana" w:eastAsia="Times New Roman" w:hAnsi="Verdana" w:cs="Times New Roman"/>
          <w:color w:val="000000"/>
          <w:highlight w:val="yellow"/>
          <w:lang w:eastAsia="en-PH"/>
        </w:rPr>
        <w:t>Maysun</w:t>
      </w:r>
      <w:proofErr w:type="spellEnd"/>
      <w:r w:rsidRPr="00222B84">
        <w:rPr>
          <w:rFonts w:ascii="Verdana" w:eastAsia="Times New Roman" w:hAnsi="Verdana" w:cs="Times New Roman"/>
          <w:color w:val="000000"/>
          <w:highlight w:val="yellow"/>
          <w:lang w:eastAsia="en-PH"/>
        </w:rPr>
        <w:t xml:space="preserve"> causing it to tilt, take in water and eventually sink with its cargo.</w:t>
      </w:r>
      <w:r w:rsidRPr="00222B84">
        <w:rPr>
          <w:rFonts w:ascii="Verdana" w:eastAsia="Times New Roman" w:hAnsi="Verdana" w:cs="Times New Roman"/>
          <w:color w:val="FF0000"/>
          <w:highlight w:val="yellow"/>
          <w:vertAlign w:val="superscript"/>
          <w:lang w:eastAsia="en-PH"/>
        </w:rPr>
        <w:t>[14]</w:t>
      </w:r>
      <w:r w:rsidRPr="00222B84">
        <w:rPr>
          <w:rFonts w:ascii="Verdana" w:eastAsia="Times New Roman" w:hAnsi="Verdana" w:cs="Times New Roman"/>
          <w:color w:val="000000"/>
          <w:highlight w:val="yellow"/>
          <w:lang w:eastAsia="en-PH"/>
        </w:rPr>
        <w:t> This tale of strong winds and big waves by the said officers of the petitioner however, was effectively rebutted and belied by the weather report</w:t>
      </w:r>
      <w:r w:rsidRPr="00222B84">
        <w:rPr>
          <w:rFonts w:ascii="Verdana" w:eastAsia="Times New Roman" w:hAnsi="Verdana" w:cs="Times New Roman"/>
          <w:color w:val="FF0000"/>
          <w:highlight w:val="yellow"/>
          <w:vertAlign w:val="superscript"/>
          <w:lang w:eastAsia="en-PH"/>
        </w:rPr>
        <w:t>[15]</w:t>
      </w:r>
      <w:r w:rsidRPr="00222B84">
        <w:rPr>
          <w:rFonts w:ascii="Verdana" w:eastAsia="Times New Roman" w:hAnsi="Verdana" w:cs="Times New Roman"/>
          <w:color w:val="000000"/>
          <w:highlight w:val="yellow"/>
          <w:lang w:eastAsia="en-PH"/>
        </w:rPr>
        <w:t xml:space="preserve"> from the Philippine Atmospheric, Geophysical and Astronomical Services Administration (PAGASA), the independent government agency charged with monitoring weather and sea conditions, showing that from 2:00 o'clock to 8:00 o'clock in the morning on August 16, 1986, the wind speed remained at ten (10) to twenty (20) knots per hour while the height of the waves ranged from .7 to two (2) meters in the vicinity of </w:t>
      </w:r>
      <w:proofErr w:type="spellStart"/>
      <w:r w:rsidRPr="00222B84">
        <w:rPr>
          <w:rFonts w:ascii="Verdana" w:eastAsia="Times New Roman" w:hAnsi="Verdana" w:cs="Times New Roman"/>
          <w:color w:val="000000"/>
          <w:highlight w:val="yellow"/>
          <w:lang w:eastAsia="en-PH"/>
        </w:rPr>
        <w:t>Cuyo</w:t>
      </w:r>
      <w:proofErr w:type="spellEnd"/>
      <w:r w:rsidRPr="00222B84">
        <w:rPr>
          <w:rFonts w:ascii="Verdana" w:eastAsia="Times New Roman" w:hAnsi="Verdana" w:cs="Times New Roman"/>
          <w:color w:val="000000"/>
          <w:highlight w:val="yellow"/>
          <w:lang w:eastAsia="en-PH"/>
        </w:rPr>
        <w:t xml:space="preserve"> East Pass and Panay Gulf where the subject vessel sank. Thus, as the appellate court correctly ruled, petitioner's vessel, MT </w:t>
      </w:r>
      <w:proofErr w:type="spellStart"/>
      <w:r w:rsidRPr="00222B84">
        <w:rPr>
          <w:rFonts w:ascii="Verdana" w:eastAsia="Times New Roman" w:hAnsi="Verdana" w:cs="Times New Roman"/>
          <w:color w:val="000000"/>
          <w:highlight w:val="yellow"/>
          <w:lang w:eastAsia="en-PH"/>
        </w:rPr>
        <w:t>Maysun</w:t>
      </w:r>
      <w:proofErr w:type="spellEnd"/>
      <w:r w:rsidRPr="00222B84">
        <w:rPr>
          <w:rFonts w:ascii="Verdana" w:eastAsia="Times New Roman" w:hAnsi="Verdana" w:cs="Times New Roman"/>
          <w:color w:val="000000"/>
          <w:highlight w:val="yellow"/>
          <w:lang w:eastAsia="en-PH"/>
        </w:rPr>
        <w:t>, sank with its entire cargo for the reason that it was not seaworthy. There was no squall or bad weather or extremely poor sea condition in the vicinity when the said vessel sank.</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lastRenderedPageBreak/>
        <w:br/>
        <w:t xml:space="preserve">The appellate court also correctly opined that the petitioner's witnesses, Jaime </w:t>
      </w:r>
      <w:proofErr w:type="spellStart"/>
      <w:r w:rsidRPr="00374E67">
        <w:rPr>
          <w:rFonts w:ascii="Verdana" w:eastAsia="Times New Roman" w:hAnsi="Verdana" w:cs="Times New Roman"/>
          <w:color w:val="000000"/>
          <w:lang w:eastAsia="en-PH"/>
        </w:rPr>
        <w:t>Jarabe</w:t>
      </w:r>
      <w:proofErr w:type="spellEnd"/>
      <w:r w:rsidRPr="00374E67">
        <w:rPr>
          <w:rFonts w:ascii="Verdana" w:eastAsia="Times New Roman" w:hAnsi="Verdana" w:cs="Times New Roman"/>
          <w:color w:val="000000"/>
          <w:lang w:eastAsia="en-PH"/>
        </w:rPr>
        <w:t xml:space="preserve"> and Francisco </w:t>
      </w:r>
      <w:proofErr w:type="spellStart"/>
      <w:r w:rsidRPr="00374E67">
        <w:rPr>
          <w:rFonts w:ascii="Verdana" w:eastAsia="Times New Roman" w:hAnsi="Verdana" w:cs="Times New Roman"/>
          <w:color w:val="000000"/>
          <w:lang w:eastAsia="en-PH"/>
        </w:rPr>
        <w:t>Berina</w:t>
      </w:r>
      <w:proofErr w:type="spellEnd"/>
      <w:r w:rsidRPr="00374E67">
        <w:rPr>
          <w:rFonts w:ascii="Verdana" w:eastAsia="Times New Roman" w:hAnsi="Verdana" w:cs="Times New Roman"/>
          <w:color w:val="000000"/>
          <w:lang w:eastAsia="en-PH"/>
        </w:rPr>
        <w:t>, ship captain and chief mate, respectively, of the said vessel, could not be expected to testify against the interest of their employer, the herein petitioner common carrier.</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Neither may petitioner escape liability by presenting in evidence </w:t>
      </w:r>
      <w:proofErr w:type="gramStart"/>
      <w:r w:rsidRPr="00374E67">
        <w:rPr>
          <w:rFonts w:ascii="Verdana" w:eastAsia="Times New Roman" w:hAnsi="Verdana" w:cs="Times New Roman"/>
          <w:color w:val="000000"/>
          <w:lang w:eastAsia="en-PH"/>
        </w:rPr>
        <w:t>certificates</w:t>
      </w:r>
      <w:r w:rsidRPr="00374E67">
        <w:rPr>
          <w:rFonts w:ascii="Verdana" w:eastAsia="Times New Roman" w:hAnsi="Verdana" w:cs="Times New Roman"/>
          <w:color w:val="FF0000"/>
          <w:vertAlign w:val="superscript"/>
          <w:lang w:eastAsia="en-PH"/>
        </w:rPr>
        <w:t>[</w:t>
      </w:r>
      <w:proofErr w:type="gramEnd"/>
      <w:r w:rsidRPr="00374E67">
        <w:rPr>
          <w:rFonts w:ascii="Verdana" w:eastAsia="Times New Roman" w:hAnsi="Verdana" w:cs="Times New Roman"/>
          <w:color w:val="FF0000"/>
          <w:vertAlign w:val="superscript"/>
          <w:lang w:eastAsia="en-PH"/>
        </w:rPr>
        <w:t>16]</w:t>
      </w:r>
      <w:r w:rsidRPr="00374E67">
        <w:rPr>
          <w:rFonts w:ascii="Verdana" w:eastAsia="Times New Roman" w:hAnsi="Verdana" w:cs="Times New Roman"/>
          <w:color w:val="000000"/>
          <w:lang w:eastAsia="en-PH"/>
        </w:rPr>
        <w:t xml:space="preserve"> that tend to show that at the time of dry-docking and inspection by the Philippine Coast Guard, the vessel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was fit for voyage. These pieces of evidence do not necessarily take into account the actual condition of the vessel at the time of the commencement of the voyage. As correctly observed by the Court of appeals:</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 xml:space="preserve">At the time of dry-docking and inspection, the ship may have appeared fit. The certificates issued, however, do not negate the presumption of </w:t>
      </w:r>
      <w:proofErr w:type="spellStart"/>
      <w:r w:rsidRPr="00374E67">
        <w:rPr>
          <w:rFonts w:ascii="Verdana" w:eastAsia="Times New Roman" w:hAnsi="Verdana" w:cs="Times New Roman"/>
          <w:color w:val="000000"/>
          <w:lang w:eastAsia="en-PH"/>
        </w:rPr>
        <w:t>unseaworthiness</w:t>
      </w:r>
      <w:proofErr w:type="spellEnd"/>
      <w:r w:rsidRPr="00374E67">
        <w:rPr>
          <w:rFonts w:ascii="Verdana" w:eastAsia="Times New Roman" w:hAnsi="Verdana" w:cs="Times New Roman"/>
          <w:color w:val="000000"/>
          <w:lang w:eastAsia="en-PH"/>
        </w:rPr>
        <w:t xml:space="preserve"> triggered by an unexplained sinking. Of certificates issued in this regard, authorities are likewise clear as to their probative value, (thus):</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Seaworthiness relates to a vessel's actual condition. Neither the granting of classification or the issuance of certificates establishes seaworthiness. (2-A Benedict on Admiralty, 7-3, Sec. 62)</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And also:</w: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 xml:space="preserve">Authorities are clear that diligence in securing certificates of seaworthiness does not satisfy the vessel owner's obligation. Also securing the approval of the shipper of the cargo, or his surveyor, of the condition of the vessel or her stowage does not establish due diligence if the vessel was in fact unseaworthy, for the cargo owner has no obligation in relation to seaworthiness. </w:t>
      </w:r>
      <w:proofErr w:type="gramStart"/>
      <w:r w:rsidRPr="00374E67">
        <w:rPr>
          <w:rFonts w:ascii="Verdana" w:eastAsia="Times New Roman" w:hAnsi="Verdana" w:cs="Times New Roman"/>
          <w:color w:val="000000"/>
          <w:lang w:eastAsia="en-PH"/>
        </w:rPr>
        <w:t>(Ibid.)</w:t>
      </w:r>
      <w:proofErr w:type="gramEnd"/>
      <w:r w:rsidRPr="00374E67">
        <w:rPr>
          <w:rFonts w:ascii="Verdana" w:eastAsia="Times New Roman" w:hAnsi="Verdana" w:cs="Times New Roman"/>
          <w:color w:val="FF0000"/>
          <w:vertAlign w:val="superscript"/>
          <w:lang w:eastAsia="en-PH"/>
        </w:rPr>
        <w:t>[17]</w:t>
      </w:r>
    </w:p>
    <w:p w:rsidR="00374E67" w:rsidRPr="00374E67" w:rsidRDefault="00374E67" w:rsidP="00374E67">
      <w:pPr>
        <w:spacing w:after="240" w:line="240" w:lineRule="auto"/>
        <w:rPr>
          <w:rFonts w:ascii="Verdana" w:eastAsia="Times New Roman" w:hAnsi="Verdana" w:cs="Times New Roman"/>
          <w:color w:val="000000"/>
          <w:lang w:eastAsia="en-PH"/>
        </w:rPr>
      </w:pPr>
      <w:r w:rsidRPr="00374E67">
        <w:rPr>
          <w:rFonts w:ascii="Verdana" w:eastAsia="Times New Roman" w:hAnsi="Verdana" w:cs="Times New Roman"/>
          <w:color w:val="000000"/>
          <w:lang w:eastAsia="en-PH"/>
        </w:rPr>
        <w:t xml:space="preserve">Additionally, the exoneration of MT </w:t>
      </w:r>
      <w:proofErr w:type="spellStart"/>
      <w:r w:rsidRPr="00374E67">
        <w:rPr>
          <w:rFonts w:ascii="Verdana" w:eastAsia="Times New Roman" w:hAnsi="Verdana" w:cs="Times New Roman"/>
          <w:color w:val="000000"/>
          <w:lang w:eastAsia="en-PH"/>
        </w:rPr>
        <w:t>Maysun's</w:t>
      </w:r>
      <w:proofErr w:type="spellEnd"/>
      <w:r w:rsidRPr="00374E67">
        <w:rPr>
          <w:rFonts w:ascii="Verdana" w:eastAsia="Times New Roman" w:hAnsi="Verdana" w:cs="Times New Roman"/>
          <w:color w:val="000000"/>
          <w:lang w:eastAsia="en-PH"/>
        </w:rPr>
        <w:t xml:space="preserve"> officers and crew by the Board of Marine Inquiry merely concerns their respective administrative liabilities. It does not in any way operate to absolve the petitioner common carrier from its civil liability arising from its failure to observe extraordinary diligence in the vigilance over the goods it was transporting and for the negligent acts or omissions of its employees, the determination of which properly belongs to the courts.</w:t>
      </w:r>
      <w:r w:rsidRPr="00374E67">
        <w:rPr>
          <w:rFonts w:ascii="Verdana" w:eastAsia="Times New Roman" w:hAnsi="Verdana" w:cs="Times New Roman"/>
          <w:color w:val="FF0000"/>
          <w:vertAlign w:val="superscript"/>
          <w:lang w:eastAsia="en-PH"/>
        </w:rPr>
        <w:t>[18]</w:t>
      </w:r>
      <w:r w:rsidRPr="00374E67">
        <w:rPr>
          <w:rFonts w:ascii="Verdana" w:eastAsia="Times New Roman" w:hAnsi="Verdana" w:cs="Times New Roman"/>
          <w:color w:val="000000"/>
          <w:lang w:eastAsia="en-PH"/>
        </w:rPr>
        <w:t xml:space="preserve">In the case at bar, </w:t>
      </w:r>
      <w:bookmarkStart w:id="0" w:name="_GoBack"/>
      <w:r w:rsidRPr="00374E67">
        <w:rPr>
          <w:rFonts w:ascii="Verdana" w:eastAsia="Times New Roman" w:hAnsi="Verdana" w:cs="Times New Roman"/>
          <w:color w:val="000000"/>
          <w:lang w:eastAsia="en-PH"/>
        </w:rPr>
        <w:t>petitioner is liable for the insured value of the lost cargo of industrial fuel oil belonging to Caltex for its failure to rebut the presumption of fault or negligence as common carrier</w:t>
      </w:r>
      <w:r w:rsidRPr="00374E67">
        <w:rPr>
          <w:rFonts w:ascii="Verdana" w:eastAsia="Times New Roman" w:hAnsi="Verdana" w:cs="Times New Roman"/>
          <w:color w:val="FF0000"/>
          <w:vertAlign w:val="superscript"/>
          <w:lang w:eastAsia="en-PH"/>
        </w:rPr>
        <w:t>[19]</w:t>
      </w:r>
      <w:r w:rsidRPr="00374E67">
        <w:rPr>
          <w:rFonts w:ascii="Verdana" w:eastAsia="Times New Roman" w:hAnsi="Verdana" w:cs="Times New Roman"/>
          <w:color w:val="000000"/>
          <w:lang w:eastAsia="en-PH"/>
        </w:rPr>
        <w:t xml:space="preserve"> occasioned by the unexplained sinking of its vessel,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while in transit.</w:t>
      </w:r>
      <w:r w:rsidRPr="00374E67">
        <w:rPr>
          <w:rFonts w:ascii="Verdana" w:eastAsia="Times New Roman" w:hAnsi="Verdana" w:cs="Times New Roman"/>
          <w:color w:val="000000"/>
          <w:lang w:eastAsia="en-PH"/>
        </w:rPr>
        <w:br/>
      </w:r>
      <w:bookmarkEnd w:id="0"/>
      <w:r w:rsidRPr="00374E67">
        <w:rPr>
          <w:rFonts w:ascii="Verdana" w:eastAsia="Times New Roman" w:hAnsi="Verdana" w:cs="Times New Roman"/>
          <w:color w:val="000000"/>
          <w:lang w:eastAsia="en-PH"/>
        </w:rPr>
        <w:br/>
        <w:t xml:space="preserve">Anent the second issue, it is our view and so </w:t>
      </w:r>
      <w:proofErr w:type="gramStart"/>
      <w:r w:rsidRPr="00374E67">
        <w:rPr>
          <w:rFonts w:ascii="Verdana" w:eastAsia="Times New Roman" w:hAnsi="Verdana" w:cs="Times New Roman"/>
          <w:color w:val="000000"/>
          <w:lang w:eastAsia="en-PH"/>
        </w:rPr>
        <w:t>hold</w:t>
      </w:r>
      <w:proofErr w:type="gramEnd"/>
      <w:r w:rsidRPr="00374E67">
        <w:rPr>
          <w:rFonts w:ascii="Verdana" w:eastAsia="Times New Roman" w:hAnsi="Verdana" w:cs="Times New Roman"/>
          <w:color w:val="000000"/>
          <w:lang w:eastAsia="en-PH"/>
        </w:rPr>
        <w:t xml:space="preserve"> that the presentation in evidence of the marine insurance policy is not indispensable in this case before the insurer may recover from the common carrier the insured value of the lost cargo in the exercise of its </w:t>
      </w:r>
      <w:proofErr w:type="spellStart"/>
      <w:r w:rsidRPr="00374E67">
        <w:rPr>
          <w:rFonts w:ascii="Verdana" w:eastAsia="Times New Roman" w:hAnsi="Verdana" w:cs="Times New Roman"/>
          <w:color w:val="000000"/>
          <w:lang w:eastAsia="en-PH"/>
        </w:rPr>
        <w:t>subrogatory</w:t>
      </w:r>
      <w:proofErr w:type="spellEnd"/>
      <w:r w:rsidRPr="00374E67">
        <w:rPr>
          <w:rFonts w:ascii="Verdana" w:eastAsia="Times New Roman" w:hAnsi="Verdana" w:cs="Times New Roman"/>
          <w:color w:val="000000"/>
          <w:lang w:eastAsia="en-PH"/>
        </w:rPr>
        <w:t xml:space="preserve"> right. The subrogation receipt, by itself, is sufficient to establish not only the relationship of herein private respondent as insurer and Caltex, as the assured shipper of the lost cargo of industrial fuel oil, but also the amount paid to settle the insurance claim. The right of subrogation accrues simply upon payment by the insurance company of the insurance claim.</w:t>
      </w:r>
      <w:r w:rsidRPr="00374E67">
        <w:rPr>
          <w:rFonts w:ascii="Verdana" w:eastAsia="Times New Roman" w:hAnsi="Verdana" w:cs="Times New Roman"/>
          <w:color w:val="FF0000"/>
          <w:vertAlign w:val="superscript"/>
          <w:lang w:eastAsia="en-PH"/>
        </w:rPr>
        <w:t>[20]</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The presentation of the insurance policy was necessary in the case of </w:t>
      </w:r>
      <w:r w:rsidRPr="00374E67">
        <w:rPr>
          <w:rFonts w:ascii="Verdana" w:eastAsia="Times New Roman" w:hAnsi="Verdana" w:cs="Times New Roman"/>
          <w:i/>
          <w:iCs/>
          <w:color w:val="000000"/>
          <w:lang w:eastAsia="en-PH"/>
        </w:rPr>
        <w:t>Home Insurance Corporation v. CA</w:t>
      </w:r>
      <w:r w:rsidRPr="00374E67">
        <w:rPr>
          <w:rFonts w:ascii="Verdana" w:eastAsia="Times New Roman" w:hAnsi="Verdana" w:cs="Times New Roman"/>
          <w:color w:val="FF0000"/>
          <w:vertAlign w:val="superscript"/>
          <w:lang w:eastAsia="en-PH"/>
        </w:rPr>
        <w:t>[21]</w:t>
      </w:r>
      <w:r w:rsidRPr="00374E67">
        <w:rPr>
          <w:rFonts w:ascii="Verdana" w:eastAsia="Times New Roman" w:hAnsi="Verdana" w:cs="Times New Roman"/>
          <w:color w:val="000000"/>
          <w:lang w:eastAsia="en-PH"/>
        </w:rPr>
        <w:t xml:space="preserve"> (a case cited by petitioner) because the shipment therein (hydraulic engines) passed through several stages with different parties involved in each stage. First, from the shipper to the port of departure; second, </w:t>
      </w:r>
      <w:r w:rsidRPr="00374E67">
        <w:rPr>
          <w:rFonts w:ascii="Verdana" w:eastAsia="Times New Roman" w:hAnsi="Verdana" w:cs="Times New Roman"/>
          <w:color w:val="000000"/>
          <w:lang w:eastAsia="en-PH"/>
        </w:rPr>
        <w:lastRenderedPageBreak/>
        <w:t xml:space="preserve">from the port of departure to the M/S Oriental Statesman; third, from the M/S Oriental Statesman to the M/S Pacific Conveyor; fourth, from the M/S Pacific Conveyor to the port of arrival; fifth, from the port of arrival to the </w:t>
      </w:r>
      <w:proofErr w:type="spellStart"/>
      <w:r w:rsidRPr="00374E67">
        <w:rPr>
          <w:rFonts w:ascii="Verdana" w:eastAsia="Times New Roman" w:hAnsi="Verdana" w:cs="Times New Roman"/>
          <w:color w:val="000000"/>
          <w:lang w:eastAsia="en-PH"/>
        </w:rPr>
        <w:t>arrastre</w:t>
      </w:r>
      <w:proofErr w:type="spellEnd"/>
      <w:r w:rsidRPr="00374E67">
        <w:rPr>
          <w:rFonts w:ascii="Verdana" w:eastAsia="Times New Roman" w:hAnsi="Verdana" w:cs="Times New Roman"/>
          <w:color w:val="000000"/>
          <w:lang w:eastAsia="en-PH"/>
        </w:rPr>
        <w:t xml:space="preserve"> operator; sixth, from the </w:t>
      </w:r>
      <w:proofErr w:type="spellStart"/>
      <w:r w:rsidRPr="00374E67">
        <w:rPr>
          <w:rFonts w:ascii="Verdana" w:eastAsia="Times New Roman" w:hAnsi="Verdana" w:cs="Times New Roman"/>
          <w:color w:val="000000"/>
          <w:lang w:eastAsia="en-PH"/>
        </w:rPr>
        <w:t>arrastre</w:t>
      </w:r>
      <w:proofErr w:type="spellEnd"/>
      <w:r w:rsidRPr="00374E67">
        <w:rPr>
          <w:rFonts w:ascii="Verdana" w:eastAsia="Times New Roman" w:hAnsi="Verdana" w:cs="Times New Roman"/>
          <w:color w:val="000000"/>
          <w:lang w:eastAsia="en-PH"/>
        </w:rPr>
        <w:t xml:space="preserve"> operator to the hauler, Mabuhay Brokerage Co., Inc. (private respondent therein); and lastly, from the hauler to the consignee. We emphasized in that case that in the absence of proof of stipulations to the contrary, the hauler can be liable only for any damage that occurred from the time it received the cargo until it finally delivered it to the consignee. Ordinarily, it cannot be held responsible for the handling of the cargo before it actually received it. The insurance contract, which was not presented in evidence in that case would have indicated the scope of the insurer's liability, if any, since no evidence was adduced indicating at what stage in the handling process the damage to the cargo was sustained.</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 xml:space="preserve">Hence, our ruling on the presentation of the insurance policy in the said case of Home Insurance Corporation is not applicable to the case at bar. In contrast, there is no doubt that the cargo of industrial fuel oil belonging to Caltex, in the case at bar, was lost while on board petitioner's vessel, MT </w:t>
      </w:r>
      <w:proofErr w:type="spellStart"/>
      <w:r w:rsidRPr="00374E67">
        <w:rPr>
          <w:rFonts w:ascii="Verdana" w:eastAsia="Times New Roman" w:hAnsi="Verdana" w:cs="Times New Roman"/>
          <w:color w:val="000000"/>
          <w:lang w:eastAsia="en-PH"/>
        </w:rPr>
        <w:t>Maysun</w:t>
      </w:r>
      <w:proofErr w:type="spellEnd"/>
      <w:r w:rsidRPr="00374E67">
        <w:rPr>
          <w:rFonts w:ascii="Verdana" w:eastAsia="Times New Roman" w:hAnsi="Verdana" w:cs="Times New Roman"/>
          <w:color w:val="000000"/>
          <w:lang w:eastAsia="en-PH"/>
        </w:rPr>
        <w:t xml:space="preserve">, which sank while in transit in the vicinity of Panay Gulf and </w:t>
      </w:r>
      <w:proofErr w:type="spellStart"/>
      <w:r w:rsidRPr="00374E67">
        <w:rPr>
          <w:rFonts w:ascii="Verdana" w:eastAsia="Times New Roman" w:hAnsi="Verdana" w:cs="Times New Roman"/>
          <w:color w:val="000000"/>
          <w:lang w:eastAsia="en-PH"/>
        </w:rPr>
        <w:t>Cuyo</w:t>
      </w:r>
      <w:proofErr w:type="spellEnd"/>
      <w:r w:rsidRPr="00374E67">
        <w:rPr>
          <w:rFonts w:ascii="Verdana" w:eastAsia="Times New Roman" w:hAnsi="Verdana" w:cs="Times New Roman"/>
          <w:color w:val="000000"/>
          <w:lang w:eastAsia="en-PH"/>
        </w:rPr>
        <w:t xml:space="preserve"> East Pass in the early morning of August 16, 1986.</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t>WHEREFORE, the instant petition is </w:t>
      </w:r>
      <w:r w:rsidRPr="00374E67">
        <w:rPr>
          <w:rFonts w:ascii="Verdana" w:eastAsia="Times New Roman" w:hAnsi="Verdana" w:cs="Times New Roman"/>
          <w:b/>
          <w:bCs/>
          <w:color w:val="000000"/>
          <w:lang w:eastAsia="en-PH"/>
        </w:rPr>
        <w:t>DENIED</w:t>
      </w:r>
      <w:r w:rsidRPr="00374E67">
        <w:rPr>
          <w:rFonts w:ascii="Verdana" w:eastAsia="Times New Roman" w:hAnsi="Verdana" w:cs="Times New Roman"/>
          <w:color w:val="000000"/>
          <w:lang w:eastAsia="en-PH"/>
        </w:rPr>
        <w:t>. The Decision dated June 17, 1996 of the Court of Appeals in CA-G.R. CV No. 39836 is </w:t>
      </w:r>
      <w:r w:rsidRPr="00374E67">
        <w:rPr>
          <w:rFonts w:ascii="Verdana" w:eastAsia="Times New Roman" w:hAnsi="Verdana" w:cs="Times New Roman"/>
          <w:b/>
          <w:bCs/>
          <w:color w:val="000000"/>
          <w:lang w:eastAsia="en-PH"/>
        </w:rPr>
        <w:t>AFFIRMED</w:t>
      </w:r>
      <w:r w:rsidRPr="00374E67">
        <w:rPr>
          <w:rFonts w:ascii="Verdana" w:eastAsia="Times New Roman" w:hAnsi="Verdana" w:cs="Times New Roman"/>
          <w:color w:val="000000"/>
          <w:lang w:eastAsia="en-PH"/>
        </w:rPr>
        <w:t xml:space="preserve">. </w:t>
      </w:r>
      <w:proofErr w:type="gramStart"/>
      <w:r w:rsidRPr="00374E67">
        <w:rPr>
          <w:rFonts w:ascii="Verdana" w:eastAsia="Times New Roman" w:hAnsi="Verdana" w:cs="Times New Roman"/>
          <w:color w:val="000000"/>
          <w:lang w:eastAsia="en-PH"/>
        </w:rPr>
        <w:t>Costs against the petitioner.</w:t>
      </w:r>
      <w:proofErr w:type="gramEnd"/>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proofErr w:type="gramStart"/>
      <w:r w:rsidRPr="00374E67">
        <w:rPr>
          <w:rFonts w:ascii="Verdana" w:eastAsia="Times New Roman" w:hAnsi="Verdana" w:cs="Times New Roman"/>
          <w:color w:val="000000"/>
          <w:lang w:eastAsia="en-PH"/>
        </w:rPr>
        <w:t>SO ORDERED.</w:t>
      </w:r>
      <w:proofErr w:type="gramEnd"/>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proofErr w:type="spellStart"/>
      <w:r w:rsidRPr="00374E67">
        <w:rPr>
          <w:rFonts w:ascii="Verdana" w:eastAsia="Times New Roman" w:hAnsi="Verdana" w:cs="Times New Roman"/>
          <w:i/>
          <w:iCs/>
          <w:color w:val="000000"/>
          <w:lang w:eastAsia="en-PH"/>
        </w:rPr>
        <w:t>Bellosillo</w:t>
      </w:r>
      <w:proofErr w:type="spellEnd"/>
      <w:r w:rsidRPr="00374E67">
        <w:rPr>
          <w:rFonts w:ascii="Verdana" w:eastAsia="Times New Roman" w:hAnsi="Verdana" w:cs="Times New Roman"/>
          <w:color w:val="000000"/>
          <w:lang w:eastAsia="en-PH"/>
        </w:rPr>
        <w:t>, (</w:t>
      </w:r>
      <w:r w:rsidRPr="00374E67">
        <w:rPr>
          <w:rFonts w:ascii="Verdana" w:eastAsia="Times New Roman" w:hAnsi="Verdana" w:cs="Times New Roman"/>
          <w:i/>
          <w:iCs/>
          <w:color w:val="000000"/>
          <w:lang w:eastAsia="en-PH"/>
        </w:rPr>
        <w:t>Chairman</w:t>
      </w:r>
      <w:r w:rsidRPr="00374E67">
        <w:rPr>
          <w:rFonts w:ascii="Verdana" w:eastAsia="Times New Roman" w:hAnsi="Verdana" w:cs="Times New Roman"/>
          <w:color w:val="000000"/>
          <w:lang w:eastAsia="en-PH"/>
        </w:rPr>
        <w:t>), </w:t>
      </w:r>
      <w:r w:rsidRPr="00374E67">
        <w:rPr>
          <w:rFonts w:ascii="Verdana" w:eastAsia="Times New Roman" w:hAnsi="Verdana" w:cs="Times New Roman"/>
          <w:i/>
          <w:iCs/>
          <w:color w:val="000000"/>
          <w:lang w:eastAsia="en-PH"/>
        </w:rPr>
        <w:t xml:space="preserve">Mendoza, </w:t>
      </w:r>
      <w:proofErr w:type="spellStart"/>
      <w:r w:rsidRPr="00374E67">
        <w:rPr>
          <w:rFonts w:ascii="Verdana" w:eastAsia="Times New Roman" w:hAnsi="Verdana" w:cs="Times New Roman"/>
          <w:i/>
          <w:iCs/>
          <w:color w:val="000000"/>
          <w:lang w:eastAsia="en-PH"/>
        </w:rPr>
        <w:t>Quisumbing</w:t>
      </w:r>
      <w:proofErr w:type="spellEnd"/>
      <w:r w:rsidRPr="00374E67">
        <w:rPr>
          <w:rFonts w:ascii="Verdana" w:eastAsia="Times New Roman" w:hAnsi="Verdana" w:cs="Times New Roman"/>
          <w:color w:val="000000"/>
          <w:lang w:eastAsia="en-PH"/>
        </w:rPr>
        <w:t>, and </w:t>
      </w:r>
      <w:r w:rsidRPr="00374E67">
        <w:rPr>
          <w:rFonts w:ascii="Verdana" w:eastAsia="Times New Roman" w:hAnsi="Verdana" w:cs="Times New Roman"/>
          <w:i/>
          <w:iCs/>
          <w:color w:val="000000"/>
          <w:lang w:eastAsia="en-PH"/>
        </w:rPr>
        <w:t xml:space="preserve">Buena, </w:t>
      </w:r>
      <w:proofErr w:type="gramStart"/>
      <w:r w:rsidRPr="00374E67">
        <w:rPr>
          <w:rFonts w:ascii="Verdana" w:eastAsia="Times New Roman" w:hAnsi="Verdana" w:cs="Times New Roman"/>
          <w:i/>
          <w:iCs/>
          <w:color w:val="000000"/>
          <w:lang w:eastAsia="en-PH"/>
        </w:rPr>
        <w:t>JJ.</w:t>
      </w:r>
      <w:r w:rsidRPr="00374E67">
        <w:rPr>
          <w:rFonts w:ascii="Verdana" w:eastAsia="Times New Roman" w:hAnsi="Verdana" w:cs="Times New Roman"/>
          <w:color w:val="000000"/>
          <w:lang w:eastAsia="en-PH"/>
        </w:rPr>
        <w:t>,</w:t>
      </w:r>
      <w:proofErr w:type="gramEnd"/>
      <w:r w:rsidRPr="00374E67">
        <w:rPr>
          <w:rFonts w:ascii="Verdana" w:eastAsia="Times New Roman" w:hAnsi="Verdana" w:cs="Times New Roman"/>
          <w:color w:val="000000"/>
          <w:lang w:eastAsia="en-PH"/>
        </w:rPr>
        <w:t xml:space="preserve"> concur.</w:t>
      </w:r>
    </w:p>
    <w:p w:rsidR="00374E67" w:rsidRPr="00374E67" w:rsidRDefault="00C12116" w:rsidP="00374E67">
      <w:pPr>
        <w:spacing w:after="0" w:line="240" w:lineRule="auto"/>
        <w:rPr>
          <w:rFonts w:ascii="Verdana" w:eastAsia="Times New Roman" w:hAnsi="Verdana" w:cs="Times New Roman"/>
          <w:color w:val="000000"/>
          <w:lang w:eastAsia="en-PH"/>
        </w:rPr>
      </w:pPr>
      <w:r>
        <w:rPr>
          <w:rFonts w:ascii="Verdana" w:eastAsia="Times New Roman" w:hAnsi="Verdana" w:cs="Times New Roman"/>
          <w:color w:val="000000"/>
          <w:lang w:eastAsia="en-PH"/>
        </w:rPr>
        <w:pict>
          <v:rect id="_x0000_i1025" style="width:280.8pt;height:.75pt" o:hrpct="600" o:hrstd="t" o:hrnoshade="t" o:hr="t" fillcolor="#a0a0a0" stroked="f"/>
        </w:pict>
      </w:r>
    </w:p>
    <w:p w:rsidR="00374E67" w:rsidRPr="00374E67" w:rsidRDefault="00374E67" w:rsidP="00374E67">
      <w:pPr>
        <w:spacing w:after="0" w:line="240" w:lineRule="auto"/>
        <w:rPr>
          <w:rFonts w:ascii="Verdana" w:eastAsia="Times New Roman" w:hAnsi="Verdana" w:cs="Times New Roman"/>
          <w:color w:val="000000"/>
          <w:lang w:eastAsia="en-PH"/>
        </w:rPr>
      </w:pPr>
      <w:r w:rsidRPr="00374E67">
        <w:rPr>
          <w:rFonts w:ascii="Verdana" w:eastAsia="Times New Roman" w:hAnsi="Verdana" w:cs="Times New Roman"/>
          <w:color w:val="FF0000"/>
          <w:vertAlign w:val="superscript"/>
          <w:lang w:eastAsia="en-PH"/>
        </w:rPr>
        <w:t>[1]</w:t>
      </w:r>
      <w:r w:rsidRPr="00374E67">
        <w:rPr>
          <w:rFonts w:ascii="Verdana" w:eastAsia="Times New Roman" w:hAnsi="Verdana" w:cs="Times New Roman"/>
          <w:color w:val="000000"/>
          <w:lang w:eastAsia="en-PH"/>
        </w:rPr>
        <w:t xml:space="preserve"> Penned by Associate Justice </w:t>
      </w:r>
      <w:proofErr w:type="spellStart"/>
      <w:r w:rsidRPr="00374E67">
        <w:rPr>
          <w:rFonts w:ascii="Verdana" w:eastAsia="Times New Roman" w:hAnsi="Verdana" w:cs="Times New Roman"/>
          <w:color w:val="000000"/>
          <w:lang w:eastAsia="en-PH"/>
        </w:rPr>
        <w:t>Hilarion</w:t>
      </w:r>
      <w:proofErr w:type="spellEnd"/>
      <w:r w:rsidRPr="00374E67">
        <w:rPr>
          <w:rFonts w:ascii="Verdana" w:eastAsia="Times New Roman" w:hAnsi="Verdana" w:cs="Times New Roman"/>
          <w:color w:val="000000"/>
          <w:lang w:eastAsia="en-PH"/>
        </w:rPr>
        <w:t xml:space="preserve"> L. Aquino and concurred in by Associate Justices </w:t>
      </w:r>
      <w:proofErr w:type="spellStart"/>
      <w:r w:rsidRPr="00374E67">
        <w:rPr>
          <w:rFonts w:ascii="Verdana" w:eastAsia="Times New Roman" w:hAnsi="Verdana" w:cs="Times New Roman"/>
          <w:color w:val="000000"/>
          <w:lang w:eastAsia="en-PH"/>
        </w:rPr>
        <w:t>Jainal</w:t>
      </w:r>
      <w:proofErr w:type="spellEnd"/>
      <w:r w:rsidRPr="00374E67">
        <w:rPr>
          <w:rFonts w:ascii="Verdana" w:eastAsia="Times New Roman" w:hAnsi="Verdana" w:cs="Times New Roman"/>
          <w:color w:val="000000"/>
          <w:lang w:eastAsia="en-PH"/>
        </w:rPr>
        <w:t xml:space="preserve"> D. </w:t>
      </w:r>
      <w:proofErr w:type="spellStart"/>
      <w:r w:rsidRPr="00374E67">
        <w:rPr>
          <w:rFonts w:ascii="Verdana" w:eastAsia="Times New Roman" w:hAnsi="Verdana" w:cs="Times New Roman"/>
          <w:color w:val="000000"/>
          <w:lang w:eastAsia="en-PH"/>
        </w:rPr>
        <w:t>Rasul</w:t>
      </w:r>
      <w:proofErr w:type="spellEnd"/>
      <w:r w:rsidRPr="00374E67">
        <w:rPr>
          <w:rFonts w:ascii="Verdana" w:eastAsia="Times New Roman" w:hAnsi="Verdana" w:cs="Times New Roman"/>
          <w:color w:val="000000"/>
          <w:lang w:eastAsia="en-PH"/>
        </w:rPr>
        <w:t xml:space="preserve"> and Hector L. </w:t>
      </w:r>
      <w:proofErr w:type="spellStart"/>
      <w:r w:rsidRPr="00374E67">
        <w:rPr>
          <w:rFonts w:ascii="Verdana" w:eastAsia="Times New Roman" w:hAnsi="Verdana" w:cs="Times New Roman"/>
          <w:color w:val="000000"/>
          <w:lang w:eastAsia="en-PH"/>
        </w:rPr>
        <w:t>Hofileña</w:t>
      </w:r>
      <w:proofErr w:type="spellEnd"/>
      <w:r w:rsidRPr="00374E67">
        <w:rPr>
          <w:rFonts w:ascii="Verdana" w:eastAsia="Times New Roman" w:hAnsi="Verdana" w:cs="Times New Roman"/>
          <w:color w:val="000000"/>
          <w:lang w:eastAsia="en-PH"/>
        </w:rPr>
        <w:t xml:space="preserve">. </w:t>
      </w:r>
      <w:proofErr w:type="gramStart"/>
      <w:r w:rsidRPr="00374E67">
        <w:rPr>
          <w:rFonts w:ascii="Verdana" w:eastAsia="Times New Roman" w:hAnsi="Verdana" w:cs="Times New Roman"/>
          <w:color w:val="000000"/>
          <w:lang w:eastAsia="en-PH"/>
        </w:rPr>
        <w:t>Annex "A".</w:t>
      </w:r>
      <w:proofErr w:type="gramEnd"/>
      <w:r w:rsidRPr="00374E67">
        <w:rPr>
          <w:rFonts w:ascii="Verdana" w:eastAsia="Times New Roman" w:hAnsi="Verdana" w:cs="Times New Roman"/>
          <w:color w:val="000000"/>
          <w:lang w:eastAsia="en-PH"/>
        </w:rPr>
        <w:t xml:space="preserve"> Rollo, pp. 43-49.</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[2]</w:t>
      </w:r>
      <w:r w:rsidRPr="00374E67">
        <w:rPr>
          <w:rFonts w:ascii="Verdana" w:eastAsia="Times New Roman" w:hAnsi="Verdana" w:cs="Times New Roman"/>
          <w:color w:val="000000"/>
          <w:lang w:eastAsia="en-PH"/>
        </w:rPr>
        <w:t> Rollo, pp. 55-59.</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[3]</w:t>
      </w:r>
      <w:r w:rsidRPr="00374E67">
        <w:rPr>
          <w:rFonts w:ascii="Verdana" w:eastAsia="Times New Roman" w:hAnsi="Verdana" w:cs="Times New Roman"/>
          <w:color w:val="000000"/>
          <w:lang w:eastAsia="en-PH"/>
        </w:rPr>
        <w:t> Annex "F". Rollo, pp. 64-79.</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[4]</w:t>
      </w:r>
      <w:r w:rsidRPr="00374E67">
        <w:rPr>
          <w:rFonts w:ascii="Verdana" w:eastAsia="Times New Roman" w:hAnsi="Verdana" w:cs="Times New Roman"/>
          <w:color w:val="000000"/>
          <w:lang w:eastAsia="en-PH"/>
        </w:rPr>
        <w:t> See Note No. 1.</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[5]</w:t>
      </w:r>
      <w:r w:rsidRPr="00374E67">
        <w:rPr>
          <w:rFonts w:ascii="Verdana" w:eastAsia="Times New Roman" w:hAnsi="Verdana" w:cs="Times New Roman"/>
          <w:color w:val="000000"/>
          <w:lang w:eastAsia="en-PH"/>
        </w:rPr>
        <w:t> Rollo, pp. 18-41.</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[6]</w:t>
      </w:r>
      <w:r w:rsidRPr="00374E67">
        <w:rPr>
          <w:rFonts w:ascii="Verdana" w:eastAsia="Times New Roman" w:hAnsi="Verdana" w:cs="Times New Roman"/>
          <w:color w:val="000000"/>
          <w:lang w:eastAsia="en-PH"/>
        </w:rPr>
        <w:t> Exhibits "11"- "11-J" inclusive.</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[7]</w:t>
      </w:r>
      <w:r w:rsidRPr="00374E67">
        <w:rPr>
          <w:rFonts w:ascii="Verdana" w:eastAsia="Times New Roman" w:hAnsi="Verdana" w:cs="Times New Roman"/>
          <w:color w:val="000000"/>
          <w:lang w:eastAsia="en-PH"/>
        </w:rPr>
        <w:t> 225 SCRA 411 (1993).</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[8]</w:t>
      </w:r>
      <w:r w:rsidRPr="00374E67">
        <w:rPr>
          <w:rFonts w:ascii="Verdana" w:eastAsia="Times New Roman" w:hAnsi="Verdana" w:cs="Times New Roman"/>
          <w:color w:val="000000"/>
          <w:lang w:eastAsia="en-PH"/>
        </w:rPr>
        <w:t> Cebu Shipyard and Engineering Works, Inc. v. William Lines, Inc., 306 SCRA 762, 778 (1999).</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lastRenderedPageBreak/>
        <w:t>[9]</w:t>
      </w:r>
      <w:r w:rsidRPr="00374E67">
        <w:rPr>
          <w:rFonts w:ascii="Verdana" w:eastAsia="Times New Roman" w:hAnsi="Verdana" w:cs="Times New Roman"/>
          <w:color w:val="000000"/>
          <w:lang w:eastAsia="en-PH"/>
        </w:rPr>
        <w:t xml:space="preserve"> Philippine American General Insurance Co., Inc. v. Court of Appeals, 273 SCRA 262, 275 (1997) citing </w:t>
      </w:r>
      <w:proofErr w:type="spellStart"/>
      <w:r w:rsidRPr="00374E67">
        <w:rPr>
          <w:rFonts w:ascii="Verdana" w:eastAsia="Times New Roman" w:hAnsi="Verdana" w:cs="Times New Roman"/>
          <w:color w:val="000000"/>
          <w:lang w:eastAsia="en-PH"/>
        </w:rPr>
        <w:t>Boney</w:t>
      </w:r>
      <w:proofErr w:type="spellEnd"/>
      <w:r w:rsidRPr="00374E67">
        <w:rPr>
          <w:rFonts w:ascii="Verdana" w:eastAsia="Times New Roman" w:hAnsi="Verdana" w:cs="Times New Roman"/>
          <w:color w:val="000000"/>
          <w:lang w:eastAsia="en-PH"/>
        </w:rPr>
        <w:t>, Insurance Commissioner v. Central Mutual Ins. Co. of Chicago, 197 S. E. 122.</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[10]</w:t>
      </w:r>
      <w:r w:rsidRPr="00374E67">
        <w:rPr>
          <w:rFonts w:ascii="Verdana" w:eastAsia="Times New Roman" w:hAnsi="Verdana" w:cs="Times New Roman"/>
          <w:color w:val="000000"/>
          <w:lang w:eastAsia="en-PH"/>
        </w:rPr>
        <w:t xml:space="preserve"> Pan Malayan Insurance Corporation v. Court of Appeals, 184 SCRA 54, 58 (1990) citing </w:t>
      </w:r>
      <w:proofErr w:type="spellStart"/>
      <w:r w:rsidRPr="00374E67">
        <w:rPr>
          <w:rFonts w:ascii="Verdana" w:eastAsia="Times New Roman" w:hAnsi="Verdana" w:cs="Times New Roman"/>
          <w:color w:val="000000"/>
          <w:lang w:eastAsia="en-PH"/>
        </w:rPr>
        <w:t>Compania</w:t>
      </w:r>
      <w:proofErr w:type="spellEnd"/>
      <w:r w:rsidRPr="00374E67">
        <w:rPr>
          <w:rFonts w:ascii="Verdana" w:eastAsia="Times New Roman" w:hAnsi="Verdana" w:cs="Times New Roman"/>
          <w:color w:val="000000"/>
          <w:lang w:eastAsia="en-PH"/>
        </w:rPr>
        <w:t xml:space="preserve"> </w:t>
      </w:r>
      <w:proofErr w:type="spellStart"/>
      <w:r w:rsidRPr="00374E67">
        <w:rPr>
          <w:rFonts w:ascii="Verdana" w:eastAsia="Times New Roman" w:hAnsi="Verdana" w:cs="Times New Roman"/>
          <w:color w:val="000000"/>
          <w:lang w:eastAsia="en-PH"/>
        </w:rPr>
        <w:t>Maritima</w:t>
      </w:r>
      <w:proofErr w:type="spellEnd"/>
      <w:r w:rsidRPr="00374E67">
        <w:rPr>
          <w:rFonts w:ascii="Verdana" w:eastAsia="Times New Roman" w:hAnsi="Verdana" w:cs="Times New Roman"/>
          <w:color w:val="000000"/>
          <w:lang w:eastAsia="en-PH"/>
        </w:rPr>
        <w:t xml:space="preserve"> v. Insurance Company of North America, G.R. No. </w:t>
      </w:r>
      <w:proofErr w:type="gramStart"/>
      <w:r w:rsidRPr="00374E67">
        <w:rPr>
          <w:rFonts w:ascii="Verdana" w:eastAsia="Times New Roman" w:hAnsi="Verdana" w:cs="Times New Roman"/>
          <w:color w:val="000000"/>
          <w:lang w:eastAsia="en-PH"/>
        </w:rPr>
        <w:t xml:space="preserve">L-18965, October 30, 1964; Fireman's Fund Insurance Company v. </w:t>
      </w:r>
      <w:proofErr w:type="spellStart"/>
      <w:r w:rsidRPr="00374E67">
        <w:rPr>
          <w:rFonts w:ascii="Verdana" w:eastAsia="Times New Roman" w:hAnsi="Verdana" w:cs="Times New Roman"/>
          <w:color w:val="000000"/>
          <w:lang w:eastAsia="en-PH"/>
        </w:rPr>
        <w:t>Jamilla</w:t>
      </w:r>
      <w:proofErr w:type="spellEnd"/>
      <w:r w:rsidRPr="00374E67">
        <w:rPr>
          <w:rFonts w:ascii="Verdana" w:eastAsia="Times New Roman" w:hAnsi="Verdana" w:cs="Times New Roman"/>
          <w:color w:val="000000"/>
          <w:lang w:eastAsia="en-PH"/>
        </w:rPr>
        <w:t xml:space="preserve"> and Co., Inc., G.R. No.</w:t>
      </w:r>
      <w:proofErr w:type="gramEnd"/>
      <w:r w:rsidRPr="00374E67">
        <w:rPr>
          <w:rFonts w:ascii="Verdana" w:eastAsia="Times New Roman" w:hAnsi="Verdana" w:cs="Times New Roman"/>
          <w:color w:val="000000"/>
          <w:lang w:eastAsia="en-PH"/>
        </w:rPr>
        <w:t xml:space="preserve"> L-27427, April 7, 1976.</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[11]</w:t>
      </w:r>
      <w:r w:rsidRPr="00374E67">
        <w:rPr>
          <w:rFonts w:ascii="Verdana" w:eastAsia="Times New Roman" w:hAnsi="Verdana" w:cs="Times New Roman"/>
          <w:color w:val="000000"/>
          <w:lang w:eastAsia="en-PH"/>
        </w:rPr>
        <w:t> Article 1733, New Civil Code.</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[12]</w:t>
      </w:r>
      <w:r w:rsidRPr="00374E67">
        <w:rPr>
          <w:rFonts w:ascii="Verdana" w:eastAsia="Times New Roman" w:hAnsi="Verdana" w:cs="Times New Roman"/>
          <w:color w:val="000000"/>
          <w:lang w:eastAsia="en-PH"/>
        </w:rPr>
        <w:t> Article 1734, New Civil Code.</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[13]</w:t>
      </w:r>
      <w:r w:rsidRPr="00374E67">
        <w:rPr>
          <w:rFonts w:ascii="Verdana" w:eastAsia="Times New Roman" w:hAnsi="Verdana" w:cs="Times New Roman"/>
          <w:color w:val="000000"/>
          <w:lang w:eastAsia="en-PH"/>
        </w:rPr>
        <w:t xml:space="preserve"> Article 1735, New Civil Code; </w:t>
      </w:r>
      <w:proofErr w:type="spellStart"/>
      <w:r w:rsidRPr="00374E67">
        <w:rPr>
          <w:rFonts w:ascii="Verdana" w:eastAsia="Times New Roman" w:hAnsi="Verdana" w:cs="Times New Roman"/>
          <w:color w:val="000000"/>
          <w:lang w:eastAsia="en-PH"/>
        </w:rPr>
        <w:t>Benedicto</w:t>
      </w:r>
      <w:proofErr w:type="spellEnd"/>
      <w:r w:rsidRPr="00374E67">
        <w:rPr>
          <w:rFonts w:ascii="Verdana" w:eastAsia="Times New Roman" w:hAnsi="Verdana" w:cs="Times New Roman"/>
          <w:color w:val="000000"/>
          <w:lang w:eastAsia="en-PH"/>
        </w:rPr>
        <w:t xml:space="preserve"> v. Intermediate Appellate Court, 187 SCRA 547, 554 (1990).</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[14]</w:t>
      </w:r>
      <w:r w:rsidRPr="00374E67">
        <w:rPr>
          <w:rFonts w:ascii="Verdana" w:eastAsia="Times New Roman" w:hAnsi="Verdana" w:cs="Times New Roman"/>
          <w:color w:val="000000"/>
          <w:lang w:eastAsia="en-PH"/>
        </w:rPr>
        <w:t> T.S.N. dated April 25, 1988, p. 19; T.S.N. dated May 9, 1988, pp. 21-24; T.S.N. dated August 1, 1988, p. 32; T. S. N. dated August 15, 1988, pp. 16-17.</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[15]</w:t>
      </w:r>
      <w:r w:rsidRPr="00374E67">
        <w:rPr>
          <w:rFonts w:ascii="Verdana" w:eastAsia="Times New Roman" w:hAnsi="Verdana" w:cs="Times New Roman"/>
          <w:color w:val="000000"/>
          <w:lang w:eastAsia="en-PH"/>
        </w:rPr>
        <w:t> Exhibit "Y".</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proofErr w:type="gramStart"/>
      <w:r w:rsidRPr="00374E67">
        <w:rPr>
          <w:rFonts w:ascii="Verdana" w:eastAsia="Times New Roman" w:hAnsi="Verdana" w:cs="Times New Roman"/>
          <w:color w:val="FF0000"/>
          <w:vertAlign w:val="superscript"/>
          <w:lang w:eastAsia="en-PH"/>
        </w:rPr>
        <w:t>[16]</w:t>
      </w:r>
      <w:r w:rsidRPr="00374E67">
        <w:rPr>
          <w:rFonts w:ascii="Verdana" w:eastAsia="Times New Roman" w:hAnsi="Verdana" w:cs="Times New Roman"/>
          <w:color w:val="000000"/>
          <w:lang w:eastAsia="en-PH"/>
        </w:rPr>
        <w:t xml:space="preserve"> Exhibits "1"; "2"; "3"; "5" with </w:t>
      </w:r>
      <w:proofErr w:type="spellStart"/>
      <w:r w:rsidRPr="00374E67">
        <w:rPr>
          <w:rFonts w:ascii="Verdana" w:eastAsia="Times New Roman" w:hAnsi="Verdana" w:cs="Times New Roman"/>
          <w:color w:val="000000"/>
          <w:lang w:eastAsia="en-PH"/>
        </w:rPr>
        <w:t>submarkings</w:t>
      </w:r>
      <w:proofErr w:type="spellEnd"/>
      <w:r w:rsidRPr="00374E67">
        <w:rPr>
          <w:rFonts w:ascii="Verdana" w:eastAsia="Times New Roman" w:hAnsi="Verdana" w:cs="Times New Roman"/>
          <w:color w:val="000000"/>
          <w:lang w:eastAsia="en-PH"/>
        </w:rPr>
        <w:t>.</w:t>
      </w:r>
      <w:proofErr w:type="gramEnd"/>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[17]</w:t>
      </w:r>
      <w:r w:rsidRPr="00374E67">
        <w:rPr>
          <w:rFonts w:ascii="Verdana" w:eastAsia="Times New Roman" w:hAnsi="Verdana" w:cs="Times New Roman"/>
          <w:color w:val="000000"/>
          <w:lang w:eastAsia="en-PH"/>
        </w:rPr>
        <w:t> Annex "A". Rollo, pp. 46-47.</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[18]</w:t>
      </w:r>
      <w:r w:rsidRPr="00374E67">
        <w:rPr>
          <w:rFonts w:ascii="Verdana" w:eastAsia="Times New Roman" w:hAnsi="Verdana" w:cs="Times New Roman"/>
          <w:color w:val="000000"/>
          <w:lang w:eastAsia="en-PH"/>
        </w:rPr>
        <w:t> </w:t>
      </w:r>
      <w:proofErr w:type="spellStart"/>
      <w:r w:rsidRPr="00374E67">
        <w:rPr>
          <w:rFonts w:ascii="Verdana" w:eastAsia="Times New Roman" w:hAnsi="Verdana" w:cs="Times New Roman"/>
          <w:color w:val="000000"/>
          <w:lang w:eastAsia="en-PH"/>
        </w:rPr>
        <w:t>Arada</w:t>
      </w:r>
      <w:proofErr w:type="spellEnd"/>
      <w:r w:rsidRPr="00374E67">
        <w:rPr>
          <w:rFonts w:ascii="Verdana" w:eastAsia="Times New Roman" w:hAnsi="Verdana" w:cs="Times New Roman"/>
          <w:color w:val="000000"/>
          <w:lang w:eastAsia="en-PH"/>
        </w:rPr>
        <w:t xml:space="preserve"> v. Court of Appeals, 210 SCRA 624, 633 (1992).</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[19]</w:t>
      </w:r>
      <w:r w:rsidRPr="00374E67">
        <w:rPr>
          <w:rFonts w:ascii="Verdana" w:eastAsia="Times New Roman" w:hAnsi="Verdana" w:cs="Times New Roman"/>
          <w:color w:val="000000"/>
          <w:lang w:eastAsia="en-PH"/>
        </w:rPr>
        <w:t> See Note No. 13.</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[20]</w:t>
      </w:r>
      <w:r w:rsidRPr="00374E67">
        <w:rPr>
          <w:rFonts w:ascii="Verdana" w:eastAsia="Times New Roman" w:hAnsi="Verdana" w:cs="Times New Roman"/>
          <w:color w:val="000000"/>
          <w:lang w:eastAsia="en-PH"/>
        </w:rPr>
        <w:t> See Note No. 10.</w:t>
      </w:r>
      <w:r w:rsidRPr="00374E67">
        <w:rPr>
          <w:rFonts w:ascii="Verdana" w:eastAsia="Times New Roman" w:hAnsi="Verdana" w:cs="Times New Roman"/>
          <w:color w:val="000000"/>
          <w:lang w:eastAsia="en-PH"/>
        </w:rPr>
        <w:br/>
      </w:r>
      <w:r w:rsidRPr="00374E67">
        <w:rPr>
          <w:rFonts w:ascii="Verdana" w:eastAsia="Times New Roman" w:hAnsi="Verdana" w:cs="Times New Roman"/>
          <w:color w:val="000000"/>
          <w:lang w:eastAsia="en-PH"/>
        </w:rPr>
        <w:br/>
      </w:r>
      <w:r w:rsidRPr="00374E67">
        <w:rPr>
          <w:rFonts w:ascii="Verdana" w:eastAsia="Times New Roman" w:hAnsi="Verdana" w:cs="Times New Roman"/>
          <w:color w:val="FF0000"/>
          <w:vertAlign w:val="superscript"/>
          <w:lang w:eastAsia="en-PH"/>
        </w:rPr>
        <w:t>[21]</w:t>
      </w:r>
      <w:r w:rsidRPr="00374E67">
        <w:rPr>
          <w:rFonts w:ascii="Verdana" w:eastAsia="Times New Roman" w:hAnsi="Verdana" w:cs="Times New Roman"/>
          <w:color w:val="000000"/>
          <w:lang w:eastAsia="en-PH"/>
        </w:rPr>
        <w:t> </w:t>
      </w:r>
      <w:r w:rsidRPr="00374E67">
        <w:rPr>
          <w:rFonts w:ascii="Verdana" w:eastAsia="Times New Roman" w:hAnsi="Verdana" w:cs="Times New Roman"/>
          <w:i/>
          <w:iCs/>
          <w:color w:val="000000"/>
          <w:lang w:eastAsia="en-PH"/>
        </w:rPr>
        <w:t>Supra</w:t>
      </w:r>
      <w:r w:rsidRPr="00374E67">
        <w:rPr>
          <w:rFonts w:ascii="Verdana" w:eastAsia="Times New Roman" w:hAnsi="Verdana" w:cs="Times New Roman"/>
          <w:color w:val="000000"/>
          <w:lang w:eastAsia="en-PH"/>
        </w:rPr>
        <w:t>, p. 415.</w:t>
      </w:r>
    </w:p>
    <w:p w:rsidR="00374E67" w:rsidRPr="00374E67" w:rsidRDefault="00C12116" w:rsidP="00374E67">
      <w:pPr>
        <w:spacing w:before="300"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pict>
          <v:rect id="_x0000_i1026" style="width:0;height:1.5pt" o:hralign="center" o:hrstd="t" o:hrnoshade="t" o:hr="t" fillcolor="black" stroked="f"/>
        </w:pict>
      </w:r>
      <w:r w:rsidR="00374E67" w:rsidRPr="00374E67">
        <w:rPr>
          <w:rFonts w:ascii="Verdana" w:eastAsia="Times New Roman" w:hAnsi="Verdana" w:cs="Times New Roman"/>
          <w:color w:val="666666"/>
          <w:sz w:val="15"/>
          <w:szCs w:val="15"/>
          <w:lang w:eastAsia="en-PH"/>
        </w:rPr>
        <w:t> </w:t>
      </w:r>
      <w:r w:rsidR="00374E67" w:rsidRPr="00374E67">
        <w:rPr>
          <w:rFonts w:ascii="Verdana" w:eastAsia="Times New Roman" w:hAnsi="Verdana" w:cs="Times New Roman"/>
          <w:color w:val="666666"/>
          <w:sz w:val="15"/>
          <w:szCs w:val="15"/>
          <w:lang w:eastAsia="en-PH"/>
        </w:rPr>
        <w:br/>
        <w:t>Source: Supreme Court E-Library </w:t>
      </w:r>
      <w:r w:rsidR="00374E67" w:rsidRPr="00374E67">
        <w:rPr>
          <w:rFonts w:ascii="Verdana" w:eastAsia="Times New Roman" w:hAnsi="Verdana" w:cs="Times New Roman"/>
          <w:color w:val="666666"/>
          <w:sz w:val="15"/>
          <w:szCs w:val="15"/>
          <w:lang w:eastAsia="en-PH"/>
        </w:rPr>
        <w:br/>
      </w:r>
    </w:p>
    <w:p w:rsidR="0018460D" w:rsidRDefault="00C12116"/>
    <w:sectPr w:rsidR="001846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67"/>
    <w:rsid w:val="00182455"/>
    <w:rsid w:val="00222B84"/>
    <w:rsid w:val="00374E67"/>
    <w:rsid w:val="00833256"/>
    <w:rsid w:val="00C12116"/>
    <w:rsid w:val="00E1761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74E6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374E6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4E6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374E67"/>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374E6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374E67"/>
    <w:rPr>
      <w:b/>
      <w:bCs/>
    </w:rPr>
  </w:style>
  <w:style w:type="paragraph" w:styleId="BalloonText">
    <w:name w:val="Balloon Text"/>
    <w:basedOn w:val="Normal"/>
    <w:link w:val="BalloonTextChar"/>
    <w:uiPriority w:val="99"/>
    <w:semiHidden/>
    <w:unhideWhenUsed/>
    <w:rsid w:val="00374E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4E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74E6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374E6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4E6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374E67"/>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374E6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374E67"/>
    <w:rPr>
      <w:b/>
      <w:bCs/>
    </w:rPr>
  </w:style>
  <w:style w:type="paragraph" w:styleId="BalloonText">
    <w:name w:val="Balloon Text"/>
    <w:basedOn w:val="Normal"/>
    <w:link w:val="BalloonTextChar"/>
    <w:uiPriority w:val="99"/>
    <w:semiHidden/>
    <w:unhideWhenUsed/>
    <w:rsid w:val="00374E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4E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135110">
      <w:bodyDiv w:val="1"/>
      <w:marLeft w:val="0"/>
      <w:marRight w:val="0"/>
      <w:marTop w:val="0"/>
      <w:marBottom w:val="0"/>
      <w:divBdr>
        <w:top w:val="none" w:sz="0" w:space="0" w:color="auto"/>
        <w:left w:val="none" w:sz="0" w:space="0" w:color="auto"/>
        <w:bottom w:val="none" w:sz="0" w:space="0" w:color="auto"/>
        <w:right w:val="none" w:sz="0" w:space="0" w:color="auto"/>
      </w:divBdr>
      <w:divsChild>
        <w:div w:id="21297343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7</Pages>
  <Words>2658</Words>
  <Characters>15151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2019-07-23T13:43:00Z</dcterms:created>
  <dcterms:modified xsi:type="dcterms:W3CDTF">2019-07-29T06:24:00Z</dcterms:modified>
</cp:coreProperties>
</file>